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DB923">
      <w:pPr>
        <w:pStyle w:val="2"/>
        <w:spacing w:before="120" w:beforeLines="50" w:after="120" w:afterLines="50"/>
        <w:ind w:firstLine="540" w:firstLineChars="150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  <w:highlight w:val="none"/>
          <w:lang w:val="en-US" w:eastAsia="zh-CN"/>
        </w:rPr>
        <w:t>费用组成明细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6"/>
          <w:szCs w:val="36"/>
          <w:highlight w:val="none"/>
        </w:rPr>
        <w:t>表</w:t>
      </w:r>
    </w:p>
    <w:tbl>
      <w:tblPr>
        <w:tblStyle w:val="4"/>
        <w:tblW w:w="140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2446"/>
        <w:gridCol w:w="843"/>
        <w:gridCol w:w="1289"/>
        <w:gridCol w:w="1128"/>
        <w:gridCol w:w="3335"/>
        <w:gridCol w:w="1983"/>
        <w:gridCol w:w="1749"/>
      </w:tblGrid>
      <w:tr w14:paraId="20190A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4F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4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C5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8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84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1D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3D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养护期限（月）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5E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 注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8A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单价(元)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8D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</w:tr>
      <w:tr w14:paraId="5182E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92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A3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渭河西安城市段皂河以东至机场高速桥段堤南200m绿化林带及西安湖区域维修养护项目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84018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2B09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17EA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CC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养护期限为2025年11月1日-2026年6月30日，共计8个月。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0D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89AF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76D3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F1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16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皂河入渭口至机场高速桥段堤南200m绿化林带养护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6E7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FAB0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A64B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C913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22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57C5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6F96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D1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23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绿化及园路养护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77A9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F499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9450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1BFE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B8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7111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EC53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0B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9F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林带及绿地养护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82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EF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965342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E8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3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包括对965342㎡林带绿化进行日常养护。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5735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38A0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B23E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2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A4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A2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园路日常养护保洁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16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63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49374.1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95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C1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包括堤南200米绿化带内园路保洁，附属设施保洁。3处停车场保洁，其中园路约40884㎡、管理中心停车场约990㎡、毕升路西侧停车场约2100㎡、横桥下停车场约5400㎡，园路共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49374.1㎡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4D70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213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6EDB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29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1E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广场保洁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A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4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8090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F1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3F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紫薇湖广场730㎡、汉台广场7000㎡、堤南一段健身广场360㎡，共8090㎡。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8731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3BB0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EC7E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D4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05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设施设备日常维护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042B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42BD7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22DC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7AD8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C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316E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AC33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F1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55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电力设施维护及电费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FBB0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A83C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7BD85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4459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D7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333E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9A4C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39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①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34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EA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7F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C2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0E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包括照明、灌溉、管理用电等费用。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此项为暂列金，按30000元填报。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682A8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6BEE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EAF9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91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②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DA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路灯等电力设施维护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F4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F4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0DE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6F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包括约464盏路灯、19个变电箱、约26km电缆的常规养护、检修等，保证正常使用。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此项为暂列金，按10000元填报。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D4F7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2589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F7C1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45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C0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灌溉系统维修养护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AA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2C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2C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2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包括23km灌溉管线，13处井泵的常规养护、检修等，保证正常使用。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此项为暂列金，按10000元填报。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78D1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0763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0DD80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E4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77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厕所日常维护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E515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80AC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26DE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117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E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C874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F20B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0B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①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8A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化粪池清理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05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  <w:r>
              <w:rPr>
                <w:rStyle w:val="8"/>
                <w:rFonts w:hint="eastAsia" w:ascii="仿宋_GB2312" w:hAnsi="仿宋_GB2312" w:eastAsia="仿宋_GB2312" w:cs="仿宋_GB2312"/>
                <w:color w:val="auto"/>
                <w:sz w:val="20"/>
                <w:szCs w:val="20"/>
                <w:lang w:val="en-US" w:eastAsia="zh-CN" w:bidi="ar"/>
              </w:rPr>
              <w:t>³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70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960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88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9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根据实际情况对厕所化粪池进行及时清理，保证无外溢情况，正常使用。共4处厕所，每月约清理120m³，累计清理约960m³。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2961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4275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1DBE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E0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②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B9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厕所维修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33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93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53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19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厕所设施维修，堤南共4处厕所，蹲位19个。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此项为暂列金，按8000元填报。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138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36AA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287A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D8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19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保洁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57BD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F734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CCB1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3304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2D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7E96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1871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FC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1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保洁人员工资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2A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·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DF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70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9E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汉台南侧厕所1人、毕升路下堤路西侧厕所1人、中心办公楼厕所1人、紫薇湖厕所2人，厕所保洁共5人；牛郎湖2人、天璇湖1人、魁星湖1人及紫薇湖4人，湖面打捞养护共8人、景观渠（长度约550m）1人。共设置保洁14人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8E279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EDA0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677B8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B8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30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垃圾处理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A5B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1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18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A6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堤南林带日常垃圾进行集中处理。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此项为暂列金，按52733元填报。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4A47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9B07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9D19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F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D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垃圾桶维护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F6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6A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8E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F0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根据养护实际，对破损的垃圾桶进行更换，增设固定式双桶垃圾桶3个。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902F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B17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B16D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D3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B8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巡查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5688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41F6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A36F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545E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6F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0F5D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90F3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1B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14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巡查费用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78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人·月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11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C8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5A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包括皂河入渭口至机场高速桥段堤南200m林带的24小时巡查，共12人。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2220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82F0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0235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09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D7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安全生产费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3B44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0382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D2F89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6A5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A2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DFD6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F25A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72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7F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管理标志牌维修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24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5C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93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20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对皂河入渭口至机场高速桥段堤南的90处标识牌进行刷新、维修，按照要求更换内容。包括宣传栏、警示牌等。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4076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DA83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0B24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02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3F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安全设施维修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49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8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0CC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73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共13处，包括救生圈、救生杆及设施打磨刷新等。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1B81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52F2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973E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9D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6F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基础设施维修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E499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787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5CF5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33C2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2E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9ED1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5E1B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AD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C3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木栈道维修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67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47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A3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43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对木栈道表面进行清理、磨平、开裂部位维修、刷漆维护，木栈道总面积416㎡，破损率取10%。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306A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2A07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288F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9D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E5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72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19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31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A9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双桶垃圾桶维修，包括刷漆、更换内胆等，共169个。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EA5A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9936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68EE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50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7B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园路维修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0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9C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287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FC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FA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石材路、石子路、透水砖路、塑胶跑道等道路总面积约49374.1㎡，广场总面积约8090㎡，破损率取0.5%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721A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83F2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F3E0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D2B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（4）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A5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紫薇湖吊桥检修维护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B3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40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D6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EC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每月对吊桥的钢缆、螺栓、护栏进行除锈、刷漆等，每季度对横梁、锚固点、桥面破损进行一次维修。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此项为暂列金，按10000元填报。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5629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0682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5DBE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C3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82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西安湖养护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E12C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F5FA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1D4AA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847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85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AE2C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9FDF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E0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11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绿化园路养护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EDA0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5AF8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8BFA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BF65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33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B5D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1308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4D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60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防护林带及绿地养护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07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亩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7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186.17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AB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E7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养护内容包括浇水、除草、修枝、施肥、防害、涂白。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EBA5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4C85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17E8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B6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44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灌木色带养护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B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7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151152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EF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B2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按照精细化管护标准进行养护，对西安湖三标种植灌木面积135533㎡，皂河一期改造灌木面积15619m³。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1208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F34C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7DF6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BA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19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草皮养护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23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61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190120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F2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5B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包括190120㎡草皮日常养护。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4A0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90B2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F890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73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（4）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88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园路日常保洁养护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9B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71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82894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28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AE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西安湖区域的园路保洁，附属设施及停车场保洁，其中7.5km环湖路宽6米，7.35km步道1.5米，2米宽游步道196㎡，停车场约4877㎡，皂河湿地生态改造园路4.5m宽混凝土路，1377㎡；2米园路透水砖，2126.97㎡，环湖步道至沉淀池广场及安保队监控室门前石材路：2711.47㎡，防浪林内道路1210.2㎡，西安湖三段杨树林道路300㎡，机场高速桥下停车场11000㎡，西安湖北岸集散广场2954㎡，节点小广场116㎡，共计82894㎡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1911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6F61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1C5C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E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69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广场保洁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D6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EE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9590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D4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6B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亲水平台及岸边节点小广场1900㎡，东、西码头广场面积6080㎡，沉淀池广场1610㎡，共9590m³。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98F3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7AD8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4292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C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（6）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9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西安湖北岸打草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60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7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186666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43A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B2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打草280亩，包括西安湖北岸的打草，每季度至少打草一次。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7F8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EB8E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C217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DF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A1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设施设备日常维护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DA3F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1F53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6580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074E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9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45F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3FA1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29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48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电力设施维护及电费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B573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193D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5928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992A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E8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2A3A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34E9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5E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①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C8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11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7E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E1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84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主要用于管理、灌溉用电费用等。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此项为暂列金，按30000元填报。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5F2C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8FFF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D541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0F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②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34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电箱等电力设施维护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05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BE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B2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F1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包括15处变电箱、约8km电缆、维护及相关电力设备的常规养护、检修等，保证正常使用。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此项为暂列金，按10000元填报。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EC5C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330F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052D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3DD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89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灌溉系统维修养护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2D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B8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9A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B1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包括约14.1km灌溉管线，7处井泵的常规养护、检修等，保证正常使用。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此项为暂列金，按20000元填报。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7756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136A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81BB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63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3F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厕所日常检查维护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89F4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A1E5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8FE0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244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7F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C836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685A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A1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①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B2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化粪池清理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B6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m³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4D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984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B86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11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根据实际情况对厕所化粪池进行及时清理，保证无外溢情况，正常使用。每月约清理123m³，累计清理约984m³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6A55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1002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E6A6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CE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②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E1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厕所维修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9C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4A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97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AF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厕所设施维修，西安湖共2处厕所，蹲位26个。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此项为暂列金，按944元填报。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D399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7CA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E1BB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B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E2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保洁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55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CE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60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62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A1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C268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05A7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CA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1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保洁人员工资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EE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人·月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F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CE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53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西安湖湖面养护5人，厕所2处4人，沙滩运动区1人，共计10人。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3552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72AF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1E28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F9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C1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垃圾处理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8D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C1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3B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C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西安湖日常垃圾处理。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此项为暂列金，按50000元填报。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3063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F70F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23D4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0B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08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垃圾桶维护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F2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A5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4D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D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根据养护实际，对破损的垃圾桶进行更换，增设固定式双桶垃圾桶3个。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DFB1E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2C89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F87F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67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B5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巡查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355F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A252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A675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EA3F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0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089F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55BB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13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C8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巡查费用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DB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人·月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10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66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89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西安湖游客流量大，水体面积很大、且经常发现飙车、偷钓等不文明行为，需巡查人员24小时巡查值守，劝导游客，共19人。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8D7F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AB02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20E09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D6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CB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水质维护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5285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7CDE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3137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26E0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7A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D9C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ABA6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3C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58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水质监测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1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9E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F3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F0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包括对湖区每季度进行一次水质检测，进、排水口及中心区域（三组）进行取样。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486D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3981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CD30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C12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7F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蓝藻、水绵消杀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048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130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20960.1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32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96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水面面积1572亩，按照湖区总面积2%处理。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F58DC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70E5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1A6E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01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4A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安全生产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482E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  <w:bookmarkStart w:id="0" w:name="_GoBack"/>
            <w:bookmarkEnd w:id="0"/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F55B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76E7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2E9B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B9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ACA0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C1F6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1C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F1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管理标志牌维修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BB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25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10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0E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对皂河入渭口至机场高速桥段堤南的60处标识牌进行刷新、维修，按照要求更换内容。包括宣传栏、警示牌等。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D407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6456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C56A1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29A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A4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安全设施维修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9D9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A2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AB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6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共37处，包括救生圈、救生杆及设施打磨刷新等。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B6CBB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FDE1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E0BC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28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02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基础设施维修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7272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FAA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9617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42D5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D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F900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EBB4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F0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96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木栈道维修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C7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0C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2F0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C2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西安湖北岸木栈道660㎡、东西码头约950㎡、亲水平台180㎡，共1790㎡，破损率取10%。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16F3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B140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EF5F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8C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9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园路维修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0B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AB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462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94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FA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石子路、透水砖、沥青路等，约92483.6㎡，破损率取0.5%。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F9D0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647B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757C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8F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52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垃圾桶维修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74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B8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00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7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双桶垃圾桶维修，包括刷漆、更换内胆等，共29个。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6EC4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D824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AFED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33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（4）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1E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沙滩区维护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62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B0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B9D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0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对沙滩区总面积9600㎡，对约50㎡木质边框进行拆除、更换。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此项为暂列金，按5000元填报。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2E66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33D3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A77A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42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（5）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22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西安湖进、退水闸门维护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F2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62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91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5C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对西安湖区域3处闸门每月经常常规维护，保证正常使用。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此项为暂列金，按3000元填报。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D021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EB606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FFCE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58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DA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保险费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C9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A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DE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C196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62A5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8691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1AF4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C7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</w:t>
            </w:r>
          </w:p>
        </w:tc>
        <w:tc>
          <w:tcPr>
            <w:tcW w:w="2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4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预备费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9A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90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3B08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10%</w:t>
            </w:r>
          </w:p>
        </w:tc>
        <w:tc>
          <w:tcPr>
            <w:tcW w:w="3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9A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highlight w:val="green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按直接费用10%计算填报</w:t>
            </w:r>
          </w:p>
        </w:tc>
        <w:tc>
          <w:tcPr>
            <w:tcW w:w="1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1936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0"/>
                <w:szCs w:val="20"/>
                <w:highlight w:val="green"/>
                <w:u w:val="none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7FEC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05AA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3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63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032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FD3A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</w:tbl>
    <w:p w14:paraId="1D73E202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说明：1.投标人必须按本表的格式详细报出投标报价的各个组成部分的报价，否则作无效响应文件处理；报价精确到小数点后两位；</w:t>
      </w:r>
    </w:p>
    <w:p w14:paraId="6ADED21F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2.本表各分项报价合计应当与投标文件其他地方的总报价相等；如果按单价计算的结果与报价不一致时，以单价为准修正报价与合计报价。</w:t>
      </w:r>
    </w:p>
    <w:p w14:paraId="0F9AE8E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</w:pPr>
    </w:p>
    <w:p w14:paraId="5715B88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</w:pPr>
    </w:p>
    <w:p w14:paraId="5BE5BF01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  <w:t>供应商名称（盖章）：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{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Hans"/>
        </w:rPr>
        <w:t>请填写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供应商名称}</w:t>
      </w:r>
    </w:p>
    <w:p w14:paraId="2FB6E8CA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仿宋_GB2312" w:hAnsi="仿宋_GB2312" w:eastAsia="仿宋_GB2312" w:cs="仿宋_GB2312"/>
          <w:color w:val="auto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zh-CN" w:eastAsia="zh-CN"/>
        </w:rPr>
        <w:t>日期：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lang w:val="en-US" w:eastAsia="zh-CN"/>
        </w:rPr>
        <w:t>XXXX年XX月XX日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Sun-ExtG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imSun-ExtG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268FE"/>
    <w:rsid w:val="00BA3803"/>
    <w:rsid w:val="019F3838"/>
    <w:rsid w:val="0616597F"/>
    <w:rsid w:val="09DA6CC4"/>
    <w:rsid w:val="10AD0C8E"/>
    <w:rsid w:val="12CA5B28"/>
    <w:rsid w:val="1ABC044C"/>
    <w:rsid w:val="220F0565"/>
    <w:rsid w:val="23F24EDE"/>
    <w:rsid w:val="2A655BD7"/>
    <w:rsid w:val="2F337A28"/>
    <w:rsid w:val="2F971F41"/>
    <w:rsid w:val="33247D88"/>
    <w:rsid w:val="37CE75B8"/>
    <w:rsid w:val="3AA30888"/>
    <w:rsid w:val="3EAD617A"/>
    <w:rsid w:val="477535AD"/>
    <w:rsid w:val="4DF23BA9"/>
    <w:rsid w:val="50E02785"/>
    <w:rsid w:val="5E9206EB"/>
    <w:rsid w:val="63032199"/>
    <w:rsid w:val="65384140"/>
    <w:rsid w:val="65813E18"/>
    <w:rsid w:val="675114E9"/>
    <w:rsid w:val="67EE4F89"/>
    <w:rsid w:val="6AAA68A8"/>
    <w:rsid w:val="6F1268FE"/>
    <w:rsid w:val="709559F5"/>
    <w:rsid w:val="71FB452B"/>
    <w:rsid w:val="73893DB8"/>
    <w:rsid w:val="74512B28"/>
    <w:rsid w:val="74E219D2"/>
    <w:rsid w:val="75A86778"/>
    <w:rsid w:val="781E0F73"/>
    <w:rsid w:val="7C3C5E61"/>
    <w:rsid w:val="7EF023E3"/>
    <w:rsid w:val="7F86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6">
    <w:name w:val="font6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41"/>
    <w:basedOn w:val="5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8">
    <w:name w:val="font7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9</Pages>
  <Words>2177</Words>
  <Characters>2490</Characters>
  <Lines>0</Lines>
  <Paragraphs>0</Paragraphs>
  <TotalTime>7</TotalTime>
  <ScaleCrop>false</ScaleCrop>
  <LinksUpToDate>false</LinksUpToDate>
  <CharactersWithSpaces>2497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2025-06-06T07:12:00Z</dcterms:created>
  <dc:creator>나무</dc:creator>
  <cp:lastModifiedBy>w**l</cp:lastModifiedBy>
  <dcterms:modified xsi:type="dcterms:W3CDTF">2025-09-29T11:29:33Z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4D6DE13C73454D55BA7FA901B9D94AB0_11</vt:lpwstr>
  </property>
  <property fmtid="{D5CDD505-2E9C-101B-9397-08002B2CF9AE}" pid="4" name="KSOTemplateDocerSaveRecord">
    <vt:lpwstr>eyJoZGlkIjoiNzNlNmY1N2M1NzM2ZDVlNDc4Y2JjNjc0YjQwODU1NmQiLCJ1c2VySWQiOiI1NjUyMTA3MzYifQ==</vt:lpwstr>
  </property>
</Properties>
</file>