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版本号：GCZB25-03620250929001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皂河入渭口滩区整治工程维修养护项目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GCZB25-036</w:t>
      </w:r>
      <w:r>
        <w:br/>
      </w:r>
      <w:r>
        <w:br/>
      </w:r>
      <w:r>
        <w:br/>
      </w:r>
    </w:p>
    <w:p>
      <w:pPr>
        <w:pStyle w:val="null3"/>
        <w:jc w:val="center"/>
        <w:outlineLvl w:val="2"/>
      </w:pPr>
      <w:r>
        <w:rPr>
          <w:rFonts w:ascii="仿宋_GB2312" w:hAnsi="仿宋_GB2312" w:cs="仿宋_GB2312" w:eastAsia="仿宋_GB2312"/>
          <w:sz w:val="28"/>
          <w:b/>
        </w:rPr>
        <w:t>西安市渭河生态管理中心</w:t>
      </w:r>
    </w:p>
    <w:p>
      <w:pPr>
        <w:pStyle w:val="null3"/>
        <w:jc w:val="center"/>
        <w:outlineLvl w:val="2"/>
      </w:pPr>
      <w:r>
        <w:rPr>
          <w:rFonts w:ascii="仿宋_GB2312" w:hAnsi="仿宋_GB2312" w:cs="仿宋_GB2312" w:eastAsia="仿宋_GB2312"/>
          <w:sz w:val="28"/>
          <w:b/>
        </w:rPr>
        <w:t>陕西国采项目管理有限公司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西安市渭河生态管理中心</w:t>
      </w:r>
      <w:r>
        <w:rPr>
          <w:rFonts w:ascii="仿宋_GB2312" w:hAnsi="仿宋_GB2312" w:cs="仿宋_GB2312" w:eastAsia="仿宋_GB2312"/>
        </w:rPr>
        <w:t>委托，拟对</w:t>
      </w:r>
      <w:r>
        <w:rPr>
          <w:rFonts w:ascii="仿宋_GB2312" w:hAnsi="仿宋_GB2312" w:cs="仿宋_GB2312" w:eastAsia="仿宋_GB2312"/>
        </w:rPr>
        <w:t>皂河入渭口滩区整治工程维修养护项目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GCZB25-036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皂河入渭口滩区整治工程维修养护项目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皂河入渭口滩区整治工程维修养护，养护范围东至渭河城市运动公园及皂河人工湿地边界，西至皂河入渭口右岸，总面积约为258亩。主要包括堤防防护林及巡查道路管护、设施设备日常维护、河湖环境保护、安全生产、维修项目等内容。需满足的要求：严格按国家、地方颁发的管理规范及采购人相关管理考核标准，达到合格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采购包1（皂河入渭口滩区整治工程维修养护项目）：属于专门面向中小企业采购。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西安市渭河生态管理中心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草滩四路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西安市未央区河堤路</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涂工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029-86263595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西安市唐延路35号旺座现代城C座26层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029-81130182 18049538114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金额为基数，参照《招标代理服务收费管理暂行办法》的通知（计价格[2002]1980号）和《关于招标代理服务收费有关问题的通知》（发改办价格[2003]857号）的有关规定标准下浮20%计算收取。（2）采购代理服务费缴纳账户：开户名称：陕西国采项目管理有限公司，开户行：中国建设银行股份有限公司西安大庆路支行，账号：61050174360000000901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西安市渭河生态管理中心</w:t>
      </w:r>
      <w:r>
        <w:rPr>
          <w:rFonts w:ascii="仿宋_GB2312" w:hAnsi="仿宋_GB2312" w:cs="仿宋_GB2312" w:eastAsia="仿宋_GB2312"/>
        </w:rPr>
        <w:t>和</w:t>
      </w:r>
      <w:r>
        <w:rPr>
          <w:rFonts w:ascii="仿宋_GB2312" w:hAnsi="仿宋_GB2312" w:cs="仿宋_GB2312" w:eastAsia="仿宋_GB2312"/>
        </w:rPr>
        <w:t>陕西国采项目管理有限公司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西安市渭河生态管理中心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西安市渭河生态管理中心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符合国家、地方颁发的管理规范及采购人相关管理考核标准，达到合格标准。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联系电话：029-81130182 18049538114</w:t>
      </w:r>
    </w:p>
    <w:p>
      <w:pPr>
        <w:pStyle w:val="null3"/>
      </w:pPr>
      <w:r>
        <w:rPr>
          <w:rFonts w:ascii="仿宋_GB2312" w:hAnsi="仿宋_GB2312" w:cs="仿宋_GB2312" w:eastAsia="仿宋_GB2312"/>
        </w:rPr>
        <w:t>地址：西安市唐延路35号旺座现代城C座26层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皂河入渭口滩区整治工程维修养护，养护范围东至渭河城市运动公园及皂河人工湿地边界，西至皂河入渭口右岸，总面积约为258亩。主要包括堤防防护林及巡查道路管护、设施设备日常维护、河湖环境保护、安全生产、维修项目等内容。需满足的要求：严格按国家颁发的管理规范及市水务局精细化管理考核标准，达到合格标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1,020,000.00</w:t>
      </w:r>
    </w:p>
    <w:p>
      <w:pPr>
        <w:pStyle w:val="null3"/>
      </w:pPr>
      <w:r>
        <w:rPr>
          <w:rFonts w:ascii="仿宋_GB2312" w:hAnsi="仿宋_GB2312" w:cs="仿宋_GB2312" w:eastAsia="仿宋_GB2312"/>
        </w:rPr>
        <w:t>采购包最高限价（元）: 1,020,000.00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皂河入渭口滩区整治工程维修养护项目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标的名称：皂河入渭口滩区整治工程维修养护项目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18"/>
              </w:rPr>
              <w:t>一、养护范围及养护期</w:t>
            </w:r>
          </w:p>
          <w:p>
            <w:pPr>
              <w:pStyle w:val="null3"/>
              <w:ind w:firstLine="420"/>
              <w:jc w:val="both"/>
            </w:pPr>
            <w:r>
              <w:rPr>
                <w:rFonts w:ascii="仿宋_GB2312" w:hAnsi="仿宋_GB2312" w:cs="仿宋_GB2312" w:eastAsia="仿宋_GB2312"/>
                <w:sz w:val="18"/>
              </w:rPr>
              <w:t>养护范围东至渭河城市运动公园及皂河人工湿地边界，西至皂河入渭口右岸，总面积约为258亩。</w:t>
            </w:r>
          </w:p>
          <w:p>
            <w:pPr>
              <w:pStyle w:val="null3"/>
              <w:ind w:firstLine="420"/>
              <w:jc w:val="both"/>
            </w:pPr>
            <w:r>
              <w:rPr>
                <w:rFonts w:ascii="仿宋_GB2312" w:hAnsi="仿宋_GB2312" w:cs="仿宋_GB2312" w:eastAsia="仿宋_GB2312"/>
                <w:sz w:val="18"/>
              </w:rPr>
              <w:t>养护期限为2025年11月1日至2026年6月30日，共8个月。</w:t>
            </w:r>
          </w:p>
          <w:p>
            <w:pPr>
              <w:pStyle w:val="null3"/>
              <w:ind w:firstLine="420"/>
              <w:jc w:val="both"/>
            </w:pPr>
            <w:r>
              <w:rPr>
                <w:rFonts w:ascii="仿宋_GB2312" w:hAnsi="仿宋_GB2312" w:cs="仿宋_GB2312" w:eastAsia="仿宋_GB2312"/>
                <w:sz w:val="18"/>
              </w:rPr>
              <w:t>二、维修养护内容</w:t>
            </w:r>
          </w:p>
          <w:p>
            <w:pPr>
              <w:pStyle w:val="null3"/>
              <w:ind w:firstLine="420"/>
              <w:jc w:val="both"/>
            </w:pPr>
            <w:r>
              <w:rPr>
                <w:rFonts w:ascii="仿宋_GB2312" w:hAnsi="仿宋_GB2312" w:cs="仿宋_GB2312" w:eastAsia="仿宋_GB2312"/>
                <w:sz w:val="18"/>
              </w:rPr>
              <w:t>包括堤防防护林及巡查道路管护、设施设备日常维护、河湖环境保护、安全生产、维修项目等。具体</w:t>
            </w:r>
            <w:r>
              <w:rPr>
                <w:rFonts w:ascii="仿宋_GB2312" w:hAnsi="仿宋_GB2312" w:cs="仿宋_GB2312" w:eastAsia="仿宋_GB2312"/>
                <w:sz w:val="18"/>
              </w:rPr>
              <w:t>详见下表</w:t>
            </w:r>
            <w:r>
              <w:rPr>
                <w:rFonts w:ascii="仿宋_GB2312" w:hAnsi="仿宋_GB2312" w:cs="仿宋_GB2312" w:eastAsia="仿宋_GB2312"/>
                <w:sz w:val="18"/>
              </w:rPr>
              <w:t>：</w:t>
            </w:r>
          </w:p>
          <w:tbl>
            <w:tblPr>
              <w:tblInd w:type="dxa" w:w="90"/>
              <w:tblBorders>
                <w:top w:val="none" w:color="000000" w:sz="4"/>
                <w:left w:val="none" w:color="000000" w:sz="4"/>
                <w:bottom w:val="none" w:color="000000" w:sz="4"/>
                <w:right w:val="none" w:color="000000" w:sz="4"/>
                <w:insideH w:val="none"/>
                <w:insideV w:val="none"/>
              </w:tblBorders>
            </w:tblPr>
            <w:tblGrid>
              <w:gridCol w:w="325"/>
              <w:gridCol w:w="482"/>
              <w:gridCol w:w="249"/>
              <w:gridCol w:w="346"/>
              <w:gridCol w:w="314"/>
              <w:gridCol w:w="818"/>
            </w:tblGrid>
            <w:tr>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项目内容</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养护期限（月）</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 注</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一</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皂河入渭口滩区整治工程维修养护项目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（一）</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皂河入渭口滩区养护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养护期限为2025年11月1日-2026年6月30日，共计8个月。</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堤防防护林及巡查道路管护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绿化养护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68000</w:t>
                  </w: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包括68000㎡绿化养护。</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堤防防护林</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亩</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养护内容包括浇水、除草、修枝、施肥、防害、涂白。</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巡查道路保养</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4687</w:t>
                  </w: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对约4687㎡巡查道路进行日常保洁。</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2</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设施设备日常维护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电力设施维护及电费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①</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日常管理、维护等用电费用。</w:t>
                  </w:r>
                  <w:r>
                    <w:rPr>
                      <w:rFonts w:ascii="仿宋_GB2312" w:hAnsi="仿宋_GB2312" w:cs="仿宋_GB2312" w:eastAsia="仿宋_GB2312"/>
                      <w:sz w:val="18"/>
                    </w:rPr>
                    <w:t>此项为暂列金，按</w:t>
                  </w:r>
                  <w:r>
                    <w:rPr>
                      <w:rFonts w:ascii="仿宋_GB2312" w:hAnsi="仿宋_GB2312" w:cs="仿宋_GB2312" w:eastAsia="仿宋_GB2312"/>
                      <w:sz w:val="18"/>
                    </w:rPr>
                    <w:t>5</w:t>
                  </w:r>
                  <w:r>
                    <w:rPr>
                      <w:rFonts w:ascii="仿宋_GB2312" w:hAnsi="仿宋_GB2312" w:cs="仿宋_GB2312" w:eastAsia="仿宋_GB2312"/>
                      <w:sz w:val="18"/>
                    </w:rPr>
                    <w:t>0000元填报。</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②</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电箱等电力设施维护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包括3处变电箱、约1km电缆、维护及相关电力设备的常规养护、检修等，保证正常使用。</w:t>
                  </w:r>
                  <w:r>
                    <w:rPr>
                      <w:rFonts w:ascii="仿宋_GB2312" w:hAnsi="仿宋_GB2312" w:cs="仿宋_GB2312" w:eastAsia="仿宋_GB2312"/>
                      <w:sz w:val="18"/>
                    </w:rPr>
                    <w:t>此项为暂列金，按</w:t>
                  </w:r>
                  <w:r>
                    <w:rPr>
                      <w:rFonts w:ascii="仿宋_GB2312" w:hAnsi="仿宋_GB2312" w:cs="仿宋_GB2312" w:eastAsia="仿宋_GB2312"/>
                      <w:sz w:val="18"/>
                    </w:rPr>
                    <w:t>2</w:t>
                  </w:r>
                  <w:r>
                    <w:rPr>
                      <w:rFonts w:ascii="仿宋_GB2312" w:hAnsi="仿宋_GB2312" w:cs="仿宋_GB2312" w:eastAsia="仿宋_GB2312"/>
                      <w:sz w:val="18"/>
                    </w:rPr>
                    <w:t>0000元填报。</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灌溉系统维修养护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包括约2处井泵、300个喷头、16处快速取水器的常规养护、检修等，保证正常使用。该区域井泵、喷头等灌溉设施需进行全面排查、维修。</w:t>
                  </w:r>
                  <w:r>
                    <w:rPr>
                      <w:rFonts w:ascii="仿宋_GB2312" w:hAnsi="仿宋_GB2312" w:cs="仿宋_GB2312" w:eastAsia="仿宋_GB2312"/>
                      <w:sz w:val="18"/>
                    </w:rPr>
                    <w:t>此项为暂列金，按</w:t>
                  </w:r>
                  <w:r>
                    <w:rPr>
                      <w:rFonts w:ascii="仿宋_GB2312" w:hAnsi="仿宋_GB2312" w:cs="仿宋_GB2312" w:eastAsia="仿宋_GB2312"/>
                      <w:sz w:val="18"/>
                    </w:rPr>
                    <w:t>4</w:t>
                  </w:r>
                  <w:r>
                    <w:rPr>
                      <w:rFonts w:ascii="仿宋_GB2312" w:hAnsi="仿宋_GB2312" w:cs="仿宋_GB2312" w:eastAsia="仿宋_GB2312"/>
                      <w:sz w:val="18"/>
                    </w:rPr>
                    <w:t>0000元填报。</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3</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河湖环境保护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湖面保洁、漂浮物打捞</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人.月</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对滩区水面、皂河桥下游临水段漂浮物进行打捞。</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4</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安全生产建设</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管理标志牌维修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处</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对皂河入渭口至机场高速桥段堤南的12处标识牌进行刷新、维修，按照要求更换内容。包括宣传栏、警示牌等。</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安全设施维修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处</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共4处，包括救生圈、救生杆及设施打磨刷新等。</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巡查人员</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人.月</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包括皂河入渭口滩区区域进行24小时巡查，共9人。</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5</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专项维修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基础设施维修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对约500m老化、破损木桩、护坡基础进行日常维护，保证运行正常。</w:t>
                  </w:r>
                  <w:r>
                    <w:rPr>
                      <w:rFonts w:ascii="仿宋_GB2312" w:hAnsi="仿宋_GB2312" w:cs="仿宋_GB2312" w:eastAsia="仿宋_GB2312"/>
                      <w:sz w:val="18"/>
                    </w:rPr>
                    <w:t>此项为暂列金，按</w:t>
                  </w:r>
                  <w:r>
                    <w:rPr>
                      <w:rFonts w:ascii="仿宋_GB2312" w:hAnsi="仿宋_GB2312" w:cs="仿宋_GB2312" w:eastAsia="仿宋_GB2312"/>
                      <w:sz w:val="18"/>
                    </w:rPr>
                    <w:t>20</w:t>
                  </w:r>
                  <w:r>
                    <w:rPr>
                      <w:rFonts w:ascii="仿宋_GB2312" w:hAnsi="仿宋_GB2312" w:cs="仿宋_GB2312" w:eastAsia="仿宋_GB2312"/>
                      <w:sz w:val="18"/>
                    </w:rPr>
                    <w:t>0000元填报。</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园路维修</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98</w:t>
                  </w: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透水砖、透水混凝土、沥青路等，约4687㎡，破损率取2%</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垃圾桶维护</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处</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对破损的垃圾桶进行更换，共6个。</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（二）</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保险费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18"/>
                    </w:rPr>
                    <w:t>含意外灾害等第三方责任险。</w:t>
                  </w:r>
                </w:p>
              </w:tc>
            </w:tr>
            <w:tr>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（三）</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预备费</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10%</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rPr>
                    <w:t>按直接费用10%计算。</w:t>
                  </w:r>
                </w:p>
              </w:tc>
            </w:tr>
          </w:tbl>
          <w:p>
            <w:pPr>
              <w:pStyle w:val="null3"/>
              <w:jc w:val="both"/>
            </w:pPr>
            <w:r>
              <w:rPr>
                <w:rFonts w:ascii="仿宋_GB2312" w:hAnsi="仿宋_GB2312" w:cs="仿宋_GB2312" w:eastAsia="仿宋_GB2312"/>
                <w:sz w:val="18"/>
              </w:rPr>
              <w:t>注：预备费（暂列金）是采购人为用于合同签订时尚未确定或者不可预见的所需材料、设备、服务的采购，实施过程中可能发生的变更、合同约定调整因素出现时的合同价款调整以及发生的索赔、现场签证确认等的费用，不应视为投标人所有，投标人投标报价时按招标人给定的数值计入投标报价中，当发生事项时，依据合同相关条款据实结算。</w:t>
            </w:r>
          </w:p>
          <w:p>
            <w:pPr>
              <w:pStyle w:val="null3"/>
              <w:jc w:val="both"/>
            </w:pPr>
            <w:r>
              <w:rPr>
                <w:rFonts w:ascii="仿宋_GB2312" w:hAnsi="仿宋_GB2312" w:cs="仿宋_GB2312" w:eastAsia="仿宋_GB2312"/>
                <w:sz w:val="18"/>
              </w:rPr>
              <w:t>三、主材、机械、人工单价按照以下执行</w:t>
            </w:r>
          </w:p>
          <w:p>
            <w:pPr>
              <w:pStyle w:val="null3"/>
              <w:jc w:val="both"/>
            </w:pPr>
            <w:r>
              <w:rPr>
                <w:rFonts w:ascii="仿宋_GB2312" w:hAnsi="仿宋_GB2312" w:cs="仿宋_GB2312" w:eastAsia="仿宋_GB2312"/>
                <w:sz w:val="18"/>
              </w:rPr>
              <w:t>表一</w:t>
            </w:r>
          </w:p>
          <w:tbl>
            <w:tblPr>
              <w:tblBorders>
                <w:top w:val="none" w:color="000000" w:sz="4"/>
                <w:left w:val="none" w:color="000000" w:sz="4"/>
                <w:bottom w:val="none" w:color="000000" w:sz="4"/>
                <w:right w:val="none" w:color="000000" w:sz="4"/>
                <w:insideH w:val="none"/>
                <w:insideV w:val="none"/>
              </w:tblBorders>
            </w:tblPr>
            <w:tblGrid>
              <w:gridCol w:w="151"/>
              <w:gridCol w:w="415"/>
              <w:gridCol w:w="341"/>
              <w:gridCol w:w="289"/>
              <w:gridCol w:w="255"/>
              <w:gridCol w:w="255"/>
              <w:gridCol w:w="250"/>
              <w:gridCol w:w="242"/>
              <w:gridCol w:w="333"/>
            </w:tblGrid>
            <w:tr>
              <w:tc>
                <w:tcPr>
                  <w:tcW w:type="dxa" w:w="2531"/>
                  <w:gridSpan w:val="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人工单价汇总表</w:t>
                  </w:r>
                </w:p>
              </w:tc>
            </w:tr>
            <w:tr>
              <w:tc>
                <w:tcPr>
                  <w:tcW w:type="dxa" w:w="2531"/>
                  <w:gridSpan w:val="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单位：元</w:t>
                  </w:r>
                </w:p>
              </w:tc>
            </w:tr>
            <w:tr>
              <w:tc>
                <w:tcPr>
                  <w:tcW w:type="dxa" w:w="1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编号</w:t>
                  </w:r>
                </w:p>
              </w:tc>
              <w:tc>
                <w:tcPr>
                  <w:tcW w:type="dxa" w:w="41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工程名称</w:t>
                  </w:r>
                </w:p>
              </w:tc>
              <w:tc>
                <w:tcPr>
                  <w:tcW w:type="dxa" w:w="34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2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单价</w:t>
                  </w:r>
                </w:p>
              </w:tc>
              <w:tc>
                <w:tcPr>
                  <w:tcW w:type="dxa" w:w="1335"/>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          中</w:t>
                  </w:r>
                </w:p>
              </w:tc>
            </w:tr>
            <w:tr>
              <w:tc>
                <w:tcPr>
                  <w:tcW w:type="dxa" w:w="151"/>
                  <w:vMerge/>
                  <w:tcBorders>
                    <w:top w:val="none" w:color="000000" w:sz="4"/>
                    <w:left w:val="single" w:color="000000" w:sz="4"/>
                    <w:bottom w:val="single" w:color="000000" w:sz="4"/>
                    <w:right w:val="single" w:color="000000" w:sz="4"/>
                  </w:tcBorders>
                </w:tcPr>
                <w:p/>
              </w:tc>
              <w:tc>
                <w:tcPr>
                  <w:tcW w:type="dxa" w:w="415"/>
                  <w:vMerge/>
                  <w:tcBorders>
                    <w:top w:val="single" w:color="000000" w:sz="4"/>
                    <w:left w:val="none" w:color="000000" w:sz="4"/>
                    <w:bottom w:val="single" w:color="000000" w:sz="4"/>
                    <w:right w:val="single" w:color="000000" w:sz="4"/>
                  </w:tcBorders>
                </w:tcPr>
                <w:p/>
              </w:tc>
              <w:tc>
                <w:tcPr>
                  <w:tcW w:type="dxa" w:w="341"/>
                  <w:vMerge/>
                  <w:tcBorders>
                    <w:top w:val="single" w:color="000000" w:sz="4"/>
                    <w:left w:val="none" w:color="000000" w:sz="4"/>
                    <w:bottom w:val="single" w:color="000000" w:sz="4"/>
                    <w:right w:val="single" w:color="000000" w:sz="4"/>
                  </w:tcBorders>
                </w:tcPr>
                <w:p/>
              </w:tc>
              <w:tc>
                <w:tcPr>
                  <w:tcW w:type="dxa" w:w="289"/>
                  <w:vMerge/>
                  <w:tcBorders>
                    <w:top w:val="single" w:color="000000" w:sz="4"/>
                    <w:left w:val="none" w:color="000000" w:sz="4"/>
                    <w:bottom w:val="single" w:color="000000" w:sz="4"/>
                    <w:right w:val="single" w:color="000000" w:sz="4"/>
                  </w:tcBorders>
                </w:tc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直接费</w:t>
                  </w:r>
                </w:p>
              </w:tc>
              <w:tc>
                <w:tcPr>
                  <w:tcW w:type="dxa" w:w="2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间接费</w:t>
                  </w:r>
                </w:p>
              </w:tc>
              <w:tc>
                <w:tcPr>
                  <w:tcW w:type="dxa" w:w="2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利润</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价差</w:t>
                  </w:r>
                </w:p>
              </w:tc>
              <w:tc>
                <w:tcPr>
                  <w:tcW w:type="dxa" w:w="3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税金</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技工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计日工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300.00</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土石方人工费（普工）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63.84</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52.625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3.16</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2.79</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5.27</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土石方人工费（技工）</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95.76</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78.9375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4.74</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4.18</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安装工程人工费</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142.27</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79.305</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45.00</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6.22</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0.00</w:t>
                  </w: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11.75</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金属结构人工除锈喷漆</w:t>
                  </w:r>
                </w:p>
              </w:tc>
              <w:tc>
                <w:tcPr>
                  <w:tcW w:type="dxa" w:w="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24.42</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20.13</w:t>
                  </w:r>
                </w:p>
              </w:tc>
              <w:tc>
                <w:tcPr>
                  <w:tcW w:type="dxa" w:w="2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w:t>
                  </w:r>
                </w:p>
              </w:tc>
              <w:tc>
                <w:tcPr>
                  <w:tcW w:type="dxa" w:w="2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w:t>
                  </w:r>
                </w:p>
              </w:tc>
            </w:tr>
          </w:tbl>
          <w:p>
            <w:pPr>
              <w:pStyle w:val="null3"/>
              <w:jc w:val="both"/>
            </w:pPr>
            <w:r>
              <w:rPr>
                <w:rFonts w:ascii="仿宋_GB2312" w:hAnsi="仿宋_GB2312" w:cs="仿宋_GB2312" w:eastAsia="仿宋_GB2312"/>
                <w:sz w:val="18"/>
              </w:rPr>
              <w:t>表二：</w:t>
            </w:r>
          </w:p>
          <w:tbl>
            <w:tblPr>
              <w:tblBorders>
                <w:top w:val="none" w:color="000000" w:sz="4"/>
                <w:left w:val="none" w:color="000000" w:sz="4"/>
                <w:bottom w:val="none" w:color="000000" w:sz="4"/>
                <w:right w:val="none" w:color="000000" w:sz="4"/>
                <w:insideH w:val="none"/>
                <w:insideV w:val="none"/>
              </w:tblBorders>
            </w:tblPr>
            <w:tblGrid>
              <w:gridCol w:w="140"/>
              <w:gridCol w:w="148"/>
              <w:gridCol w:w="127"/>
              <w:gridCol w:w="135"/>
              <w:gridCol w:w="199"/>
              <w:gridCol w:w="165"/>
              <w:gridCol w:w="127"/>
              <w:gridCol w:w="186"/>
              <w:gridCol w:w="195"/>
              <w:gridCol w:w="182"/>
              <w:gridCol w:w="203"/>
              <w:gridCol w:w="199"/>
              <w:gridCol w:w="135"/>
              <w:gridCol w:w="182"/>
              <w:gridCol w:w="195"/>
            </w:tblGrid>
            <w:tr>
              <w:tc>
                <w:tcPr>
                  <w:tcW w:type="dxa" w:w="2518"/>
                  <w:gridSpan w:val="1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主要材料预算价格计算表</w:t>
                  </w:r>
                </w:p>
              </w:tc>
            </w:tr>
            <w:tr>
              <w:tc>
                <w:tcPr>
                  <w:tcW w:type="dxa" w:w="1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编号</w:t>
                  </w:r>
                </w:p>
              </w:tc>
              <w:tc>
                <w:tcPr>
                  <w:tcW w:type="dxa" w:w="1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名称及规格</w:t>
                  </w:r>
                </w:p>
              </w:tc>
              <w:tc>
                <w:tcPr>
                  <w:tcW w:type="dxa" w:w="12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w:t>
                  </w:r>
                </w:p>
              </w:tc>
              <w:tc>
                <w:tcPr>
                  <w:tcW w:type="dxa" w:w="1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原价依据</w:t>
                  </w:r>
                </w:p>
              </w:tc>
              <w:tc>
                <w:tcPr>
                  <w:tcW w:type="dxa" w:w="1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预算             价格</w:t>
                  </w:r>
                </w:p>
              </w:tc>
              <w:tc>
                <w:tcPr>
                  <w:tcW w:type="dxa" w:w="1392"/>
                  <w:gridSpan w:val="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  中（金额元）</w:t>
                  </w:r>
                </w:p>
              </w:tc>
              <w:tc>
                <w:tcPr>
                  <w:tcW w:type="dxa" w:w="1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陕水预（2017）规定价</w:t>
                  </w:r>
                </w:p>
              </w:tc>
              <w:tc>
                <w:tcPr>
                  <w:tcW w:type="dxa" w:w="19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价差</w:t>
                  </w:r>
                </w:p>
              </w:tc>
            </w:tr>
            <w:tr>
              <w:tc>
                <w:tcPr>
                  <w:tcW w:type="dxa" w:w="140"/>
                  <w:vMerge/>
                  <w:tcBorders>
                    <w:top w:val="none" w:color="000000" w:sz="4"/>
                    <w:left w:val="single" w:color="000000" w:sz="4"/>
                    <w:bottom w:val="single" w:color="000000" w:sz="4"/>
                    <w:right w:val="single" w:color="000000" w:sz="4"/>
                  </w:tcBorders>
                </w:tcPr>
                <w:p/>
              </w:tc>
              <w:tc>
                <w:tcPr>
                  <w:tcW w:type="dxa" w:w="148"/>
                  <w:vMerge/>
                  <w:tcBorders>
                    <w:top w:val="single" w:color="000000" w:sz="4"/>
                    <w:left w:val="none" w:color="000000" w:sz="4"/>
                    <w:bottom w:val="single" w:color="000000" w:sz="4"/>
                    <w:right w:val="single" w:color="000000" w:sz="4"/>
                  </w:tcBorders>
                </w:tcPr>
                <w:p/>
              </w:tc>
              <w:tc>
                <w:tcPr>
                  <w:tcW w:type="dxa" w:w="127"/>
                  <w:vMerge/>
                  <w:tcBorders>
                    <w:top w:val="singl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c>
                <w:tcPr>
                  <w:tcW w:type="dxa" w:w="199"/>
                  <w:vMerge/>
                  <w:tcBorders>
                    <w:top w:val="single" w:color="000000" w:sz="4"/>
                    <w:left w:val="none" w:color="000000" w:sz="4"/>
                    <w:bottom w:val="single" w:color="000000" w:sz="4"/>
                    <w:right w:val="single" w:color="000000" w:sz="4"/>
                  </w:tcBorders>
                </w:tcPr>
                <w:p/>
              </w:tc>
              <w:tc>
                <w:tcPr>
                  <w:tcW w:type="dxa" w:w="1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原价  （调查）</w:t>
                  </w:r>
                </w:p>
              </w:tc>
              <w:tc>
                <w:tcPr>
                  <w:tcW w:type="dxa" w:w="1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包装费</w:t>
                  </w:r>
                </w:p>
              </w:tc>
              <w:tc>
                <w:tcPr>
                  <w:tcW w:type="dxa" w:w="563"/>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运杂费</w:t>
                  </w:r>
                </w:p>
              </w:tc>
              <w:tc>
                <w:tcPr>
                  <w:tcW w:type="dxa" w:w="20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运到工地仓库价格</w:t>
                  </w:r>
                </w:p>
              </w:tc>
              <w:tc>
                <w:tcPr>
                  <w:tcW w:type="dxa" w:w="19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采购及保管费（3%）</w:t>
                  </w:r>
                </w:p>
              </w:tc>
              <w:tc>
                <w:tcPr>
                  <w:tcW w:type="dxa" w:w="1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运输保险费</w:t>
                  </w:r>
                </w:p>
              </w:tc>
            </w:tr>
            <w:tr>
              <w:tc>
                <w:tcPr>
                  <w:tcW w:type="dxa" w:w="140"/>
                  <w:vMerge/>
                  <w:tcBorders>
                    <w:top w:val="none" w:color="000000" w:sz="4"/>
                    <w:left w:val="single" w:color="000000" w:sz="4"/>
                    <w:bottom w:val="single" w:color="000000" w:sz="4"/>
                    <w:right w:val="single" w:color="000000" w:sz="4"/>
                  </w:tcBorders>
                </w:tcPr>
                <w:p/>
              </w:tc>
              <w:tc>
                <w:tcPr>
                  <w:tcW w:type="dxa" w:w="148"/>
                  <w:vMerge/>
                  <w:tcBorders>
                    <w:top w:val="single" w:color="000000" w:sz="4"/>
                    <w:left w:val="none" w:color="000000" w:sz="4"/>
                    <w:bottom w:val="single" w:color="000000" w:sz="4"/>
                    <w:right w:val="single" w:color="000000" w:sz="4"/>
                  </w:tcBorders>
                </w:tcPr>
                <w:p/>
              </w:tc>
              <w:tc>
                <w:tcPr>
                  <w:tcW w:type="dxa" w:w="127"/>
                  <w:vMerge/>
                  <w:tcBorders>
                    <w:top w:val="singl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c>
                <w:tcPr>
                  <w:tcW w:type="dxa" w:w="199"/>
                  <w:vMerge/>
                  <w:tcBorders>
                    <w:top w:val="single" w:color="000000" w:sz="4"/>
                    <w:left w:val="none" w:color="000000" w:sz="4"/>
                    <w:bottom w:val="single" w:color="000000" w:sz="4"/>
                    <w:right w:val="single" w:color="000000" w:sz="4"/>
                  </w:tcBorders>
                </w:tcPr>
                <w:p/>
              </w:tc>
              <w:tc>
                <w:tcPr>
                  <w:tcW w:type="dxa" w:w="165"/>
                  <w:vMerge/>
                  <w:tcBorders>
                    <w:top w:val="none" w:color="000000" w:sz="4"/>
                    <w:left w:val="none" w:color="000000" w:sz="4"/>
                    <w:bottom w:val="single" w:color="000000" w:sz="4"/>
                    <w:right w:val="single" w:color="000000" w:sz="4"/>
                  </w:tcBorders>
                </w:tcPr>
                <w:p/>
              </w:tc>
              <w:tc>
                <w:tcPr>
                  <w:tcW w:type="dxa" w:w="127"/>
                  <w:vMerge/>
                  <w:tcBorders>
                    <w:top w:val="none" w:color="000000" w:sz="4"/>
                    <w:left w:val="none" w:color="000000" w:sz="4"/>
                    <w:bottom w:val="single" w:color="000000" w:sz="4"/>
                    <w:right w:val="single" w:color="000000" w:sz="4"/>
                  </w:tcBorders>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小计</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单位运费（元）</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单位毛重（吨）</w:t>
                  </w:r>
                </w:p>
              </w:tc>
              <w:tc>
                <w:tcPr>
                  <w:tcW w:type="dxa" w:w="203"/>
                  <w:vMerge/>
                  <w:tcBorders>
                    <w:top w:val="single" w:color="000000" w:sz="4"/>
                    <w:left w:val="none" w:color="000000" w:sz="4"/>
                    <w:bottom w:val="single" w:color="000000" w:sz="4"/>
                    <w:right w:val="single" w:color="000000" w:sz="4"/>
                  </w:tcBorders>
                </w:tcPr>
                <w:p/>
              </w:tc>
              <w:tc>
                <w:tcPr>
                  <w:tcW w:type="dxa" w:w="199"/>
                  <w:vMerge/>
                  <w:tcBorders>
                    <w:top w:val="single" w:color="000000" w:sz="4"/>
                    <w:left w:val="none" w:color="000000" w:sz="4"/>
                    <w:bottom w:val="single" w:color="000000" w:sz="4"/>
                    <w:right w:val="single" w:color="000000" w:sz="4"/>
                  </w:tcBorders>
                </w:tcPr>
                <w:p/>
              </w:tc>
              <w:tc>
                <w:tcPr>
                  <w:tcW w:type="dxa" w:w="135"/>
                  <w:vMerge/>
                  <w:tcBorders>
                    <w:top w:val="single" w:color="000000" w:sz="4"/>
                    <w:left w:val="none" w:color="000000" w:sz="4"/>
                    <w:bottom w:val="single" w:color="000000" w:sz="4"/>
                    <w:right w:val="single" w:color="000000" w:sz="4"/>
                  </w:tcBorders>
                </w:tcPr>
                <w:p/>
              </w:tc>
              <w:tc>
                <w:tcPr>
                  <w:tcW w:type="dxa" w:w="182"/>
                  <w:vMerge/>
                  <w:tcBorders>
                    <w:top w:val="single" w:color="000000" w:sz="4"/>
                    <w:left w:val="none" w:color="000000" w:sz="4"/>
                    <w:bottom w:val="single" w:color="000000" w:sz="4"/>
                    <w:right w:val="single" w:color="000000" w:sz="4"/>
                  </w:tcBorders>
                </w:tcPr>
                <w:p/>
              </w:tc>
              <w:tc>
                <w:tcPr>
                  <w:tcW w:type="dxa" w:w="195"/>
                  <w:vMerge/>
                  <w:tcBorders>
                    <w:top w:val="single" w:color="000000" w:sz="4"/>
                    <w:left w:val="none" w:color="000000" w:sz="4"/>
                    <w:bottom w:val="single" w:color="000000" w:sz="4"/>
                    <w:right w:val="single" w:color="000000" w:sz="4"/>
                  </w:tcBorders>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块石</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186.52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127.45</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53.64</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31.55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181.09</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136.52</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铅丝</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5524.05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5339.81</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5363.16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160.89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柴油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7.02</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7.93</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4.02</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石渣</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183.27</w:t>
                  </w:r>
                </w:p>
              </w:tc>
              <w:tc>
                <w:tcPr>
                  <w:tcW w:type="dxa" w:w="1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127.45</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50.48</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C00000"/>
                    </w:rPr>
                    <w:t>31.55</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177.93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5.34</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113.27</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碎石</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199.91</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147.06</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47.03</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194.08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129.91</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砂子</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160.95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147.06</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9.21</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5.94</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1.55</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156.27</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4.69</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110.95</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水泥</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511.83</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486.73</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10.10</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496.93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14.91</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251.83</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汽油</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8.49</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9.59</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4.99</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板枋材</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2106.86</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2035.40</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2045.50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61.36</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1500.00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606.86</w:t>
                  </w: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白灰</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T</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粘土</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油漆</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农药</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kw.h</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0.65</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0.65</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煤</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0.80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风</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木柴</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kg</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0.50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商品砼</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3</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草皮</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perscript"/>
                    </w:rPr>
                    <w:t>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调查</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技工</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普工</w:t>
                  </w: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工日</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规定</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50.00</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18"/>
              </w:rPr>
              <w:t>表三：</w:t>
            </w:r>
          </w:p>
          <w:tbl>
            <w:tblPr>
              <w:tblBorders>
                <w:top w:val="none" w:color="000000" w:sz="4"/>
                <w:left w:val="none" w:color="000000" w:sz="4"/>
                <w:bottom w:val="none" w:color="000000" w:sz="4"/>
                <w:right w:val="none" w:color="000000" w:sz="4"/>
                <w:insideH w:val="none"/>
                <w:insideV w:val="none"/>
              </w:tblBorders>
            </w:tblPr>
            <w:tblGrid>
              <w:gridCol w:w="217"/>
              <w:gridCol w:w="789"/>
              <w:gridCol w:w="401"/>
              <w:gridCol w:w="559"/>
              <w:gridCol w:w="580"/>
            </w:tblGrid>
            <w:tr>
              <w:tc>
                <w:tcPr>
                  <w:tcW w:type="dxa" w:w="2546"/>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施工机械台班费汇总表</w:t>
                  </w:r>
                </w:p>
              </w:tc>
            </w:tr>
            <w:tr>
              <w:tc>
                <w:tcPr>
                  <w:tcW w:type="dxa" w:w="2546"/>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单位：元/台班</w:t>
                  </w:r>
                </w:p>
              </w:tc>
            </w:tr>
            <w:tr>
              <w:tc>
                <w:tcPr>
                  <w:tcW w:type="dxa" w:w="2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编号</w:t>
                  </w:r>
                </w:p>
              </w:tc>
              <w:tc>
                <w:tcPr>
                  <w:tcW w:type="dxa" w:w="78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机械名称及规格</w:t>
                  </w:r>
                </w:p>
              </w:tc>
              <w:tc>
                <w:tcPr>
                  <w:tcW w:type="dxa" w:w="4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台班费</w:t>
                  </w:r>
                </w:p>
              </w:tc>
              <w:tc>
                <w:tcPr>
                  <w:tcW w:type="dxa" w:w="113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单价（元）</w:t>
                  </w:r>
                </w:p>
              </w:tc>
            </w:tr>
            <w:tr>
              <w:tc>
                <w:tcPr>
                  <w:tcW w:type="dxa" w:w="217"/>
                  <w:vMerge/>
                  <w:tcBorders>
                    <w:top w:val="none" w:color="000000" w:sz="4"/>
                    <w:left w:val="single" w:color="000000" w:sz="4"/>
                    <w:bottom w:val="single" w:color="000000" w:sz="4"/>
                    <w:right w:val="single" w:color="000000" w:sz="4"/>
                  </w:tcBorders>
                </w:tcPr>
                <w:p/>
              </w:tc>
              <w:tc>
                <w:tcPr>
                  <w:tcW w:type="dxa" w:w="789"/>
                  <w:vMerge/>
                  <w:tcBorders>
                    <w:top w:val="single" w:color="000000" w:sz="4"/>
                    <w:left w:val="none" w:color="000000" w:sz="4"/>
                    <w:bottom w:val="single" w:color="000000" w:sz="4"/>
                    <w:right w:val="single" w:color="000000" w:sz="4"/>
                  </w:tcBorders>
                </w:tcPr>
                <w:p/>
              </w:tc>
              <w:tc>
                <w:tcPr>
                  <w:tcW w:type="dxa" w:w="401"/>
                  <w:vMerge/>
                  <w:tcBorders>
                    <w:top w:val="single" w:color="000000" w:sz="4"/>
                    <w:left w:val="none" w:color="000000" w:sz="4"/>
                    <w:bottom w:val="single" w:color="000000" w:sz="4"/>
                    <w:right w:val="single" w:color="000000" w:sz="4"/>
                  </w:tcBorders>
                </w:tcP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一类费用</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二类费用</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挖掘机液压1.0m</w:t>
                  </w:r>
                  <w:r>
                    <w:rPr>
                      <w:rFonts w:ascii="仿宋_GB2312" w:hAnsi="仿宋_GB2312" w:cs="仿宋_GB2312" w:eastAsia="仿宋_GB2312"/>
                      <w:sz w:val="18"/>
                      <w:color w:val="000000"/>
                    </w:rPr>
                    <w:t>³</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743.63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355.73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387.90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推土机 59kw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387.68</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106.28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281.40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推土机 74kw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509.56</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194.86</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314.70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自卸汽车5t（柴油型）</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342.02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119.72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222.30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自卸汽车8t（柴油型）</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540.10</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247.90</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292.20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砼搅拌机0.4m3560L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235.22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55.45</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179.77</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砼搅拌机0.25m3400L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110.78</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18.23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92.55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载重汽车5T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285.32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95.87</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189.45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插入式振捣器2.2kw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22.03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16.11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5.92</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10T塔式起重机</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653.49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402.28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251.21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蛙式打夯机2.8kw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167.10</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160.01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拖拉机74kw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445.95</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121.35</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324.60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拖拉机59kw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375.89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83.69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292.20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内燃压路机8-10t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290.30</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63.80</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226.50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内燃压路机6-8t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270.62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58.82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211.80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内燃压路机12-15t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325.71</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71.91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253.80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液压压路机10-12t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412.62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170.22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242.40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羊角碾8-12t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16.67</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16.67</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羊角碾5-7t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12.24</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刨毛机（组班）</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416.31</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128.31</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288.00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汽车起重机5T</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376.19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120.14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256.05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洒水汽车4000L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282.84</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101.79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181.05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电焊机交流20-25KVA</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47.25</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3.44</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43.81</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自行式平地机135kw</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868.73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414.23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454.50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胶轮车</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装载机3-3.3m3</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960.08</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465.68</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494.40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沥青洒布车3500L</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262.33</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88.63</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173.70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三轮喷药车</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139.47</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130.75</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水罐车</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482.92</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269.62</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213.30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剪草机</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197.69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196.10</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背负式割草机</w:t>
                  </w:r>
                </w:p>
              </w:tc>
              <w:tc>
                <w:tcPr>
                  <w:tcW w:type="dxa" w:w="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106.89</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0.79</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106.10</w:t>
                  </w:r>
                </w:p>
              </w:tc>
            </w:tr>
          </w:tbl>
          <w:p>
            <w:pPr>
              <w:pStyle w:val="null3"/>
              <w:jc w:val="both"/>
            </w:pPr>
            <w:r>
              <w:rPr>
                <w:rFonts w:ascii="仿宋_GB2312" w:hAnsi="仿宋_GB2312" w:cs="仿宋_GB2312" w:eastAsia="仿宋_GB2312"/>
                <w:sz w:val="18"/>
              </w:rPr>
              <w:t>表四：</w:t>
            </w:r>
          </w:p>
          <w:tbl>
            <w:tblPr>
              <w:tblInd w:type="dxa" w:w="90"/>
              <w:tblBorders>
                <w:top w:val="none" w:color="000000" w:sz="4"/>
                <w:left w:val="none" w:color="000000" w:sz="4"/>
                <w:bottom w:val="none" w:color="000000" w:sz="4"/>
                <w:right w:val="none" w:color="000000" w:sz="4"/>
                <w:insideH w:val="none"/>
                <w:insideV w:val="none"/>
              </w:tblBorders>
            </w:tblPr>
            <w:tblGrid>
              <w:gridCol w:w="146"/>
              <w:gridCol w:w="116"/>
              <w:gridCol w:w="125"/>
              <w:gridCol w:w="146"/>
              <w:gridCol w:w="185"/>
              <w:gridCol w:w="103"/>
              <w:gridCol w:w="190"/>
              <w:gridCol w:w="146"/>
              <w:gridCol w:w="103"/>
              <w:gridCol w:w="185"/>
              <w:gridCol w:w="146"/>
              <w:gridCol w:w="103"/>
              <w:gridCol w:w="185"/>
              <w:gridCol w:w="168"/>
              <w:gridCol w:w="103"/>
              <w:gridCol w:w="159"/>
              <w:gridCol w:w="190"/>
            </w:tblGrid>
            <w:tr>
              <w:tc>
                <w:tcPr>
                  <w:tcW w:type="dxa" w:w="2499"/>
                  <w:gridSpan w:val="17"/>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水泥砂浆材料单价计算表</w:t>
                  </w:r>
                </w:p>
              </w:tc>
            </w:tr>
            <w:tr>
              <w:tc>
                <w:tcPr>
                  <w:tcW w:type="dxa" w:w="14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编号</w:t>
                  </w:r>
                </w:p>
              </w:tc>
              <w:tc>
                <w:tcPr>
                  <w:tcW w:type="dxa" w:w="11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砂浆标号</w:t>
                  </w:r>
                </w:p>
              </w:tc>
              <w:tc>
                <w:tcPr>
                  <w:tcW w:type="dxa" w:w="12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水泥标号</w:t>
                  </w:r>
                </w:p>
              </w:tc>
              <w:tc>
                <w:tcPr>
                  <w:tcW w:type="dxa" w:w="14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级配</w:t>
                  </w:r>
                </w:p>
              </w:tc>
              <w:tc>
                <w:tcPr>
                  <w:tcW w:type="dxa" w:w="1776"/>
                  <w:gridSpan w:val="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预算量/预算价</w:t>
                  </w:r>
                </w:p>
              </w:tc>
              <w:tc>
                <w:tcPr>
                  <w:tcW w:type="dxa" w:w="19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预算单价       元/m</w:t>
                  </w:r>
                  <w:r>
                    <w:rPr>
                      <w:rFonts w:ascii="仿宋_GB2312" w:hAnsi="仿宋_GB2312" w:cs="仿宋_GB2312" w:eastAsia="仿宋_GB2312"/>
                      <w:sz w:val="18"/>
                      <w:color w:val="000000"/>
                      <w:vertAlign w:val="superscript"/>
                    </w:rPr>
                    <w:t>3</w:t>
                  </w:r>
                </w:p>
              </w:tc>
            </w:tr>
            <w:tr>
              <w:tc>
                <w:tcPr>
                  <w:tcW w:type="dxa" w:w="146"/>
                  <w:vMerge/>
                  <w:tcBorders>
                    <w:top w:val="none" w:color="000000" w:sz="4"/>
                    <w:left w:val="single" w:color="000000" w:sz="4"/>
                    <w:bottom w:val="single" w:color="000000" w:sz="4"/>
                    <w:right w:val="single" w:color="000000" w:sz="4"/>
                  </w:tcBorders>
                </w:tcPr>
                <w:p/>
              </w:tc>
              <w:tc>
                <w:tcPr>
                  <w:tcW w:type="dxa" w:w="116"/>
                  <w:vMerge/>
                  <w:tcBorders>
                    <w:top w:val="singl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146"/>
                  <w:vMerge/>
                  <w:tcBorders>
                    <w:top w:val="single" w:color="000000" w:sz="4"/>
                    <w:left w:val="none" w:color="000000" w:sz="4"/>
                    <w:bottom w:val="single" w:color="000000" w:sz="4"/>
                    <w:right w:val="single" w:color="000000" w:sz="4"/>
                  </w:tcBorders>
                </w:tcPr>
                <w:p/>
              </w:tc>
              <w:tc>
                <w:tcPr>
                  <w:tcW w:type="dxa" w:w="47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水泥（kg)</w:t>
                  </w:r>
                </w:p>
              </w:tc>
              <w:tc>
                <w:tcPr>
                  <w:tcW w:type="dxa" w:w="43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砂（m</w:t>
                  </w:r>
                  <w:r>
                    <w:rPr>
                      <w:rFonts w:ascii="仿宋_GB2312" w:hAnsi="仿宋_GB2312" w:cs="仿宋_GB2312" w:eastAsia="仿宋_GB2312"/>
                      <w:sz w:val="18"/>
                      <w:color w:val="000000"/>
                      <w:vertAlign w:val="superscript"/>
                    </w:rPr>
                    <w:t>3</w:t>
                  </w:r>
                  <w:r>
                    <w:rPr>
                      <w:rFonts w:ascii="仿宋_GB2312" w:hAnsi="仿宋_GB2312" w:cs="仿宋_GB2312" w:eastAsia="仿宋_GB2312"/>
                      <w:sz w:val="18"/>
                      <w:color w:val="000000"/>
                    </w:rPr>
                    <w:t>）</w:t>
                  </w:r>
                </w:p>
              </w:tc>
              <w:tc>
                <w:tcPr>
                  <w:tcW w:type="dxa" w:w="43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碎石（m</w:t>
                  </w:r>
                  <w:r>
                    <w:rPr>
                      <w:rFonts w:ascii="仿宋_GB2312" w:hAnsi="仿宋_GB2312" w:cs="仿宋_GB2312" w:eastAsia="仿宋_GB2312"/>
                      <w:sz w:val="18"/>
                      <w:color w:val="000000"/>
                      <w:vertAlign w:val="superscript"/>
                    </w:rPr>
                    <w:t>3</w:t>
                  </w:r>
                  <w:r>
                    <w:rPr>
                      <w:rFonts w:ascii="仿宋_GB2312" w:hAnsi="仿宋_GB2312" w:cs="仿宋_GB2312" w:eastAsia="仿宋_GB2312"/>
                      <w:sz w:val="18"/>
                      <w:color w:val="000000"/>
                    </w:rPr>
                    <w:t>)</w:t>
                  </w:r>
                </w:p>
              </w:tc>
              <w:tc>
                <w:tcPr>
                  <w:tcW w:type="dxa" w:w="430"/>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水（m</w:t>
                  </w:r>
                  <w:r>
                    <w:rPr>
                      <w:rFonts w:ascii="仿宋_GB2312" w:hAnsi="仿宋_GB2312" w:cs="仿宋_GB2312" w:eastAsia="仿宋_GB2312"/>
                      <w:sz w:val="18"/>
                      <w:color w:val="000000"/>
                      <w:vertAlign w:val="superscript"/>
                    </w:rPr>
                    <w:t>3</w:t>
                  </w:r>
                  <w:r>
                    <w:rPr>
                      <w:rFonts w:ascii="仿宋_GB2312" w:hAnsi="仿宋_GB2312" w:cs="仿宋_GB2312" w:eastAsia="仿宋_GB2312"/>
                      <w:sz w:val="18"/>
                      <w:color w:val="000000"/>
                    </w:rPr>
                    <w:t>)</w:t>
                  </w:r>
                </w:p>
              </w:tc>
            </w:tr>
            <w:tr>
              <w:tc>
                <w:tcPr>
                  <w:tcW w:type="dxa" w:w="146"/>
                  <w:vMerge/>
                  <w:tcBorders>
                    <w:top w:val="none" w:color="000000" w:sz="4"/>
                    <w:left w:val="single" w:color="000000" w:sz="4"/>
                    <w:bottom w:val="single" w:color="000000" w:sz="4"/>
                    <w:right w:val="single" w:color="000000" w:sz="4"/>
                  </w:tcBorders>
                </w:tcPr>
                <w:p/>
              </w:tc>
              <w:tc>
                <w:tcPr>
                  <w:tcW w:type="dxa" w:w="116"/>
                  <w:vMerge/>
                  <w:tcBorders>
                    <w:top w:val="single" w:color="000000" w:sz="4"/>
                    <w:left w:val="none" w:color="000000" w:sz="4"/>
                    <w:bottom w:val="single" w:color="000000" w:sz="4"/>
                    <w:right w:val="single" w:color="000000" w:sz="4"/>
                  </w:tcBorders>
                </w:tcPr>
                <w:p/>
              </w:tc>
              <w:tc>
                <w:tcPr>
                  <w:tcW w:type="dxa" w:w="125"/>
                  <w:vMerge/>
                  <w:tcBorders>
                    <w:top w:val="single" w:color="000000" w:sz="4"/>
                    <w:left w:val="none" w:color="000000" w:sz="4"/>
                    <w:bottom w:val="single" w:color="000000" w:sz="4"/>
                    <w:right w:val="single" w:color="000000" w:sz="4"/>
                  </w:tcBorders>
                </w:tcPr>
                <w:p/>
              </w:tc>
              <w:tc>
                <w:tcPr>
                  <w:tcW w:type="dxa" w:w="146"/>
                  <w:vMerge/>
                  <w:tcBorders>
                    <w:top w:val="single" w:color="000000" w:sz="4"/>
                    <w:left w:val="none" w:color="000000" w:sz="4"/>
                    <w:bottom w:val="single" w:color="000000" w:sz="4"/>
                    <w:right w:val="single" w:color="000000" w:sz="4"/>
                  </w:tcBorders>
                </w:tcPr>
                <w:p/>
              </w:tc>
              <w:tc>
                <w:tcPr>
                  <w:tcW w:type="dxa" w:w="288"/>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0.51</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元/kg</w:t>
                  </w:r>
                </w:p>
              </w:tc>
              <w:tc>
                <w:tcPr>
                  <w:tcW w:type="dxa" w:w="249"/>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160.95</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元/m</w:t>
                  </w:r>
                  <w:r>
                    <w:rPr>
                      <w:rFonts w:ascii="仿宋_GB2312" w:hAnsi="仿宋_GB2312" w:cs="仿宋_GB2312" w:eastAsia="仿宋_GB2312"/>
                      <w:sz w:val="18"/>
                      <w:color w:val="000000"/>
                      <w:vertAlign w:val="superscript"/>
                    </w:rPr>
                    <w:t>3</w:t>
                  </w:r>
                </w:p>
              </w:tc>
              <w:tc>
                <w:tcPr>
                  <w:tcW w:type="dxa" w:w="249"/>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199.91</w:t>
                  </w:r>
                </w:p>
              </w:tc>
              <w:tc>
                <w:tcPr>
                  <w:tcW w:type="dxa" w:w="1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元/m</w:t>
                  </w:r>
                  <w:r>
                    <w:rPr>
                      <w:rFonts w:ascii="仿宋_GB2312" w:hAnsi="仿宋_GB2312" w:cs="仿宋_GB2312" w:eastAsia="仿宋_GB2312"/>
                      <w:sz w:val="18"/>
                      <w:color w:val="000000"/>
                      <w:vertAlign w:val="superscript"/>
                    </w:rPr>
                    <w:t>3</w:t>
                  </w:r>
                </w:p>
              </w:tc>
              <w:tc>
                <w:tcPr>
                  <w:tcW w:type="dxa" w:w="271"/>
                  <w:gridSpan w:val="2"/>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1.00</w:t>
                  </w: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元/m</w:t>
                  </w:r>
                  <w:r>
                    <w:rPr>
                      <w:rFonts w:ascii="仿宋_GB2312" w:hAnsi="仿宋_GB2312" w:cs="仿宋_GB2312" w:eastAsia="仿宋_GB2312"/>
                      <w:sz w:val="18"/>
                      <w:color w:val="000000"/>
                      <w:vertAlign w:val="superscript"/>
                    </w:rPr>
                    <w:t>3</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一</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砌筑砂浆</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8"/>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bscript"/>
                    </w:rPr>
                    <w:t>7.5</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261.00</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133.59</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1.11</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178.66</w:t>
                  </w:r>
                </w:p>
              </w:tc>
              <w:tc>
                <w:tcPr>
                  <w:tcW w:type="dxa" w:w="43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0.157</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0.16</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312.41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M</w:t>
                  </w:r>
                  <w:r>
                    <w:rPr>
                      <w:rFonts w:ascii="仿宋_GB2312" w:hAnsi="仿宋_GB2312" w:cs="仿宋_GB2312" w:eastAsia="仿宋_GB2312"/>
                      <w:sz w:val="18"/>
                      <w:color w:val="000000"/>
                      <w:vertAlign w:val="subscript"/>
                    </w:rPr>
                    <w:t>10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425</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410.00</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209.85</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1.08</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173.83</w:t>
                  </w:r>
                </w:p>
              </w:tc>
              <w:tc>
                <w:tcPr>
                  <w:tcW w:type="dxa" w:w="43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0.270</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0.27</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383.95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混凝土</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w:t>
                  </w:r>
                  <w:r>
                    <w:rPr>
                      <w:rFonts w:ascii="仿宋_GB2312" w:hAnsi="仿宋_GB2312" w:cs="仿宋_GB2312" w:eastAsia="仿宋_GB2312"/>
                      <w:sz w:val="18"/>
                      <w:color w:val="000000"/>
                      <w:vertAlign w:val="subscript"/>
                    </w:rPr>
                    <w:t>20</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425</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8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370.89</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189.83</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0.58</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93.35</w:t>
                  </w:r>
                </w:p>
              </w:tc>
              <w:tc>
                <w:tcPr>
                  <w:tcW w:type="dxa" w:w="14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0.74</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147.93</w:t>
                  </w:r>
                </w:p>
              </w:tc>
              <w:tc>
                <w:tcPr>
                  <w:tcW w:type="dxa" w:w="16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8"/>
                      <w:color w:val="000000"/>
                    </w:rPr>
                    <w:t>0.20</w:t>
                  </w:r>
                </w:p>
              </w:tc>
              <w:tc>
                <w:tcPr>
                  <w:tcW w:type="dxa" w:w="10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0.20</w:t>
                  </w:r>
                </w:p>
              </w:tc>
              <w:tc>
                <w:tcPr>
                  <w:tcW w:type="dxa" w:w="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431.31</w:t>
                  </w:r>
                </w:p>
              </w:tc>
            </w:tr>
          </w:tbl>
          <w:p>
            <w:pPr>
              <w:pStyle w:val="null3"/>
              <w:jc w:val="both"/>
            </w:pPr>
            <w:r>
              <w:rPr>
                <w:rFonts w:ascii="仿宋_GB2312" w:hAnsi="仿宋_GB2312" w:cs="仿宋_GB2312" w:eastAsia="仿宋_GB2312"/>
                <w:sz w:val="18"/>
              </w:rPr>
              <w:t>四、暂估价、预备费项目要求：</w:t>
            </w:r>
          </w:p>
          <w:p>
            <w:pPr>
              <w:pStyle w:val="null3"/>
              <w:ind w:firstLine="480"/>
              <w:jc w:val="both"/>
            </w:pPr>
            <w:r>
              <w:rPr>
                <w:rFonts w:ascii="仿宋_GB2312" w:hAnsi="仿宋_GB2312" w:cs="仿宋_GB2312" w:eastAsia="仿宋_GB2312"/>
                <w:sz w:val="18"/>
              </w:rPr>
              <w:t>①</w:t>
            </w:r>
            <w:r>
              <w:rPr>
                <w:rFonts w:ascii="仿宋_GB2312" w:hAnsi="仿宋_GB2312" w:cs="仿宋_GB2312" w:eastAsia="仿宋_GB2312"/>
                <w:sz w:val="18"/>
              </w:rPr>
              <w:t>投标按照暂估价（暂列金）进行填报；</w:t>
            </w:r>
          </w:p>
          <w:p>
            <w:pPr>
              <w:pStyle w:val="null3"/>
              <w:ind w:firstLine="480"/>
              <w:jc w:val="both"/>
            </w:pPr>
            <w:r>
              <w:rPr>
                <w:rFonts w:ascii="仿宋_GB2312" w:hAnsi="仿宋_GB2312" w:cs="仿宋_GB2312" w:eastAsia="仿宋_GB2312"/>
                <w:sz w:val="18"/>
              </w:rPr>
              <w:t>②</w:t>
            </w:r>
            <w:r>
              <w:rPr>
                <w:rFonts w:ascii="仿宋_GB2312" w:hAnsi="仿宋_GB2312" w:cs="仿宋_GB2312" w:eastAsia="仿宋_GB2312"/>
                <w:sz w:val="18"/>
              </w:rPr>
              <w:t>工程计量、计价、结算按照以上人工、材料、机械单价确认；</w:t>
            </w:r>
          </w:p>
          <w:p>
            <w:pPr>
              <w:pStyle w:val="null3"/>
              <w:ind w:firstLine="480"/>
              <w:jc w:val="both"/>
            </w:pPr>
            <w:r>
              <w:rPr>
                <w:rFonts w:ascii="仿宋_GB2312" w:hAnsi="仿宋_GB2312" w:cs="仿宋_GB2312" w:eastAsia="仿宋_GB2312"/>
                <w:sz w:val="18"/>
              </w:rPr>
              <w:t>③按照省颁水利定额及投标税金、利润分析确认工程量单价（省颁水利定额无相应子目可参照部颁水利定额或其他行业定额）。</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供应商应该按照项目的需求配备合理的服务人员，确保项目实施质量。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供应商应该按照项目的需求配备合理的设备设施，以确保项目顺利实施。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养护期限为2025年11月1日-2026年6月30日，共计8个月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采购人每月根据精细化管理考核标准及采购人考核细则对成交单位进行考核，根据考核情况对成交单位应结款项进行扣罚，连续二个月考核不合格，采购人有权解除养护合同，并有权选择第二名递补。</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陕西省财政厅关于进一步加大政府采购支持中小企业力度的通知》(陕财办采〔2022〕5号)中“授予中小企业政府采购合同付款比例不得低于合同价款的40%。”要求，甲方可以根据资金情况支付乙方不高于合同价款的50%（含）预付款，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用以人民币付款,按月支付，每月实际支付费用按照本合同“考核标准及办法”规定的服务日常考核办法中对应的考核结果按相应比例计算后进行结算。中标人于每月15日之前根据采购人考核结果按上月服务费金额开具增值税专用发票的形式交于采购人（中标人凭采购人签署的考核结果开具发票，提交采购人报账；发票的开具时间根据采购人的财务要求执行,发票应注明税率），采购人在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1.服务缺陷的补救措施和索赔 (1)如果乙方提供的服务不符合本合同约定以及招标文件、投标文件关于服务的要求和承诺，乙方应按照甲方同意的下列一种或几种方式结合起来解决索赔事宜： ①乙方同意将服务款项目退还给甲方，由此发生的一切费用和损失由乙方承担。如甲方以适当的条件和方法购买与未履约标的相类似的服务，乙方应负担新购买类似服务所超出的费用。 ②根据服务的质量状况以及甲方所遭受的损失，经过甲乙双方商定降低服务的价格。 (2)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或者没收履约保证金，如不足以弥补甲方损失的，甲方有权进一步要求乙方赔偿 (3)乙方在而合同履行过程中，提供的服务质量不满足甲方考核验收标准，甲方有权按照通用条款的奖惩原则进行奖惩。 2.迟延履约的违约责任 (1)乙方应按照本合同规定的时间、地点提供服务。 (2)在履行合同过程中，如果乙方遇到可能妨碍按时提供服务的情形时，应及时以书面形式将迟延的事实、可能迟延的期限和理由通知甲方。甲方在收到乙方通知后，应尽快对情况进行评价，并确定是否同意延期提供服务。 (3)除甲乙双方另有约定外，如果乙方没有按照合同规定的时间提供服务，且没有在甲方同意的延长的期限内进行补救时，甲方有权从服务款、履约保证金中扣除或要求乙方另行支付误期赔偿费而不影响合同项下的其他补救方法。赔偿费按每日加收合同金额的0.5%计收，直至提供服务为止。但误期赔偿费的最高限额不超过合同价的15%。 (4)如果乙方延迟履约超过30日，甲方有权终止全部或部分合同，并依其认为适当的条件和方法购买与未履约类似的服务，乙方应负担购买类似服务所超出的费用。但是，乙方应继续执行合同中未终止的部分。 3.未履行合同义务的违约责任 (1)守约方有权终止全部或部分合同。 (2)没收全额履约保证金。 (3)由违约一方支付违约金，违约金标准见合同条款前附表。 (4)违约金不足以弥补守约方实际损失、可预见或者应当预见的损失，由违约方全额予以赔偿。 4.其他违约责任 乙方应依法妥善管理其派出人员，履行劳动法律法规规定的用人单位职责，因乙方未妥善处理其派出人员所引发的一切纠纷由乙方自行处理，若甲方因乙方未妥善处理上述纠纷而受到任何损失，则乙方应赔偿甲方为此支付的一切费用；并甲方有权提前解除该协议，乙方应返还甲方支付的款项。 （二）解决争议 1.合同各方应通过友好协商，解决在执行合同过程中所发生的或与合同有关的一切争端。如协商30日内(根据实际情况设定)不能解决，可以按合同规定的方式提起诉讼。 2.诉讼应由甲方住所地人民法院管辖。</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标的所属行业为：其他未列明行业从业人员300人以下的为中小微型企业。其中，从业人员100人及以上的为中型企业；从业人员10人及以上的为小型企业；从业人员10人以下的为微型企业。（2）成交供应商在领取成交通知书前，须向采购代理机构提供纸质版投标文件2套，且提供的投标文件必须与在陕西省政府采购综合管理平台的项目电子化交易系统中递交的电子投标文件内容一致，纸质版投标文件必须装订成册签字盖章。（3）本项目属于西安市本级项目，根据《西安市财政局关于促进政府采购公平竞争优化营商环境的通知》（市财函〔2021〕431号）文件的要求，采购代理机构向采购人提交评标报告、采购人确定中标人、采购代理机构发布中标公告和采购人或采购代理机构发出中标通知书的期限要求，均在法定期限要求基础上提前1个工作日。（4）根据《陕西省财政厅关于持续优化政府采购营商环境有关事项的通知》（陕财办采〔2024〕9号）文件的通知，采购人在中标（成交）通知书发出之日起25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2）税收缴纳证明：提供供应商自投标前1年以来已缴纳任意时段完税凭证或税务机关开具的完税证明（任意税种），依法免税的应提供相关文件证明，公益类事业单位可不提供；（3）社会保障资金缴纳证明：提供供应商自投标前1年以来已缴存的任意时段的社会保障资金缴存单据或社保机构开具的社会保险参保缴费情况证明，依法不需要缴纳社会保障资金的供应商应提供相关文件证明，公益类事业单位可不提供；（4）提供供应商具备履行合同所必需的设备和专业技术能力的证明材料；（5）供应商参加本次招标前3年内，在经营活动中没有重大违法记录的书面声明；（6）采购人、采购代理机构将通过“信用中国”网站（www.creditchina.gov.cn）和中国政府采购网站（www.ccgp.gov.cn）查询投标人信用记录，列入失信被执行人名单、重大税收违法失信主体、政府采购严重违法失信行为记录名单中的供应商将被拒绝参与本项目投标。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提供2024年度经审计的供应商财务报告或磋商前三个月内基本户开户银行出具的资信证明，公益类事业单位可不提供。供应商需在项目电子化交易系统中按要求上传相应证明文件并进行电子签章。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服务内容及服务邀请应答表 费用组成明细表.docx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费用组成明细表.docx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符合本项目“采购需求”规定的服务范围</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维修养护方案</w:t>
            </w:r>
          </w:p>
        </w:tc>
        <w:tc>
          <w:tcPr>
            <w:tcW w:type="dxa" w:w="2492"/>
          </w:tcPr>
          <w:p>
            <w:pPr>
              <w:pStyle w:val="null3"/>
            </w:pPr>
            <w:r>
              <w:rPr>
                <w:rFonts w:ascii="仿宋_GB2312" w:hAnsi="仿宋_GB2312" w:cs="仿宋_GB2312" w:eastAsia="仿宋_GB2312"/>
              </w:rPr>
              <w:t>一、评审内容 针对采购内容提出适用于本项目的维修养护方案，方案包括：①堤防防护林及巡查道路管护方案；②设施设备日常维护方案；③河湖环境保护方案；④专项维修方案；⑤安全生产方案；⑥防汛方案；⑦冬季防火方案。 二、评审标准 1、完整性：方案必须全面，对评审内容中的各项要求有详细描述； 2、针对性：方案能够紧扣项目实际情况，内容科学合理； 3、可实施性：切合本项目实际情况，提出步骤清晰、合理的方案。 三、赋分标准（满分21分） ①堤防防护林及巡查道路管护方案：每完全满足一个评审标准得1分；针对评审标准存在有不合理处的得0.5分；内容与本项目无关或未提供的得0分。 ②设施设备日常维护方案：每完全满足一个评审标准得1分；针对评审标准存在有不合理处的得0.5分；内容与本项目无关或未提供的得0分。 ③河湖环境保护方案：每完全满足一个评审标准得1分；针对评审标准存在有不合理处的得0.5分；内容与本项目无关或未提供的得0分。 ④专项维修方案：每完全满足一个评审标准得1分；针对评审标准存在有不合理处的得0.5分；内容与本项目无关或未提供的得0分。 ⑤安全生产方案：每完全满足一个评审标准得1分；针对评审标准存在有不合理处的得0.5分；内容与本项目无关或未提供的得0分。 ⑥防汛方案：每完全满足一个评审标准得1分；针对评审标准存在有不合理处的得0.5分；内容与本项目无关或未提供的得0分。 ⑦冬季防火方案：每完全满足一个评审标准得1分；针对评审标准存在有不合理处的得0.5分；内容与本项目无关或未提供的得0分。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工作环境卫生保护方案</w:t>
            </w:r>
          </w:p>
        </w:tc>
        <w:tc>
          <w:tcPr>
            <w:tcW w:type="dxa" w:w="2492"/>
          </w:tcPr>
          <w:p>
            <w:pPr>
              <w:pStyle w:val="null3"/>
            </w:pPr>
            <w:r>
              <w:rPr>
                <w:rFonts w:ascii="仿宋_GB2312" w:hAnsi="仿宋_GB2312" w:cs="仿宋_GB2312" w:eastAsia="仿宋_GB2312"/>
              </w:rPr>
              <w:t>一、评审内容 针对采购内容提出适用于本项目工作过程中对养护范围内环境的保护方案。 二、评审标准 1、完整性：方案必须全面，对评审内容中的各项要求有详细描述； 2、针对性：方案能够紧扣项目实际情况，内容科学合理； 3、可实施性：切合本项目实际情况，提出步骤清晰、合理的方案。 三、赋分标准（满分3分） 工作环境卫生保护方案：每完全满足一个评审标准得1分；针对评审标准存在有不合理处的得0.5分；内容与本项目无关或未提供的得0分。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针对采购内容提出适用于本项目的保障措施，包括：①服务质量保障措施；②应急保障措施；③组织机构、人员管理措施；④作业安全、水电安全等各项安全保障措施；⑤服务自检流程及自我考核体系。 二、评审标准 1、完整性：方案必须全面，对评审内容中的各项要求有详细描述； 2、针对性：方案能够紧扣项目实际情况，内容科学合理； 3、可实施性：切合本项目实际情况，提出步骤清晰、合理的方案。 三、赋分标准（满分15分） ①服务质量保障措施：每完全满足一个评审标准得1分；针对评审标准存在有不合理处的得0.5分；内容与本项目无关或未提供的得0分。 ②应急保障措施：每完全满足一个评审标准得1分；针对评审标准存在有不合理处的得0.5分；内容与本项目无关或未提供的得0分。 ③组织机构、人员管理措施：每完全满足一个评审标准得1分；针对评审标准存在有不合理处的得0.5分；内容与本项目无关或未提供的得0分。 ④作业安全等各项安全保障措施：每完全满足一个评审标准得1分；针对评审标准存在有不合理处的得0.5分；内容与本项目无关或未提供的得0分。 ⑤服务自检流程及自我考核体系：每完全满足一个评审标准得1分；针对评审标准存在有不合理处的得0.5分；内容与本项目无关或未提供的得0分。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人员配置方案及维护设备、机具配置方案</w:t>
            </w:r>
          </w:p>
        </w:tc>
        <w:tc>
          <w:tcPr>
            <w:tcW w:type="dxa" w:w="2492"/>
          </w:tcPr>
          <w:p>
            <w:pPr>
              <w:pStyle w:val="null3"/>
            </w:pPr>
            <w:r>
              <w:rPr>
                <w:rFonts w:ascii="仿宋_GB2312" w:hAnsi="仿宋_GB2312" w:cs="仿宋_GB2312" w:eastAsia="仿宋_GB2312"/>
              </w:rPr>
              <w:t>一、评审内容 针对采购内容提出适用于本项目的人员配置方案及维护设备、机具配置方案，方案包括：①人员配置方案；②维护设备、机具配置方案。 二、评审标准 1、完整性：方案必须全面，对评审内容中的各项要求有详细描述； 2、针对性：方案能够紧扣项目实际情况，内容合理； 3、科学性：切合本项目实际情况，提出科学、合理配置的方案。 二、赋分标准（满分6分） ①人员配置方案：每完全满足一个评审标准得1分；针对评审标准存在有不合理处的得0.5分；内容与本项目无关或未提供的得0分。 ②维护设备、机具配置方案：每完全满足一个评审标准得1分；针对评审标准存在有不合理处的得0.5分；内容与本项目无关或未提供的得0分。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关键点、重难点分析及合理化建议</w:t>
            </w:r>
          </w:p>
        </w:tc>
        <w:tc>
          <w:tcPr>
            <w:tcW w:type="dxa" w:w="2492"/>
          </w:tcPr>
          <w:p>
            <w:pPr>
              <w:pStyle w:val="null3"/>
            </w:pPr>
            <w:r>
              <w:rPr>
                <w:rFonts w:ascii="仿宋_GB2312" w:hAnsi="仿宋_GB2312" w:cs="仿宋_GB2312" w:eastAsia="仿宋_GB2312"/>
              </w:rPr>
              <w:t>一、评审内容 针对项目提出项目实施过程中的关键点、重难点分析及相关措施，并提出有利项目实施的合理化建议，内容包括：①关键点、重难点分析；②合理化建议。 二、评审标准 1、完整性：建议内容全面，对采购内容中的各项相关内容有详细描述； 2、针对性：建议能够紧扣项目实际情况，内容科学合理； 3、可实施性：切合本项目实际情况，提出步骤清晰、合理的解决方案。 三、赋分标准（满分6分） ①关键点、重难点分析：每完全满足一个评审标准得1分；针对评审标准存在有不合理处的得0.5分；内容与本项目无关或未提供的得0分； ②合理化建议：每完全满足一个评审标准得1分；针对评审标准存在有不合理处的得0.5分；内容与本项目无关或未提供的得0分。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采购内容提出适用于本项目的服务承诺包括①对采购内容的相关养护质量、维修质量一致性、稳定性等内容做出承诺；②投标人对配合采购人重大活动等内容做出承诺；③对服务期内应急情况下的响应时间等做出承诺；④配合采购人对精细化管理目标实现做出承诺；⑤对市民服务及市民意见处理的专项承诺。 二、评审标准 1、完整性：方案必须全面，对评审内容中的各项要求有详细描述； 2、针对性：方案能够紧扣项目实际情况，内容科学合理； 3、可实施性：切合本项目实际情况，提出步骤清晰、合理的方案。 三、赋分标准（满分15分） ①对采购内容的相关养护质量、维修质量一致性、稳定性等内容做出承诺：每完全满足一个评审标准得1分；针对评审标准存在有不合理处的得0.5分；内容与本项目无关或未提供的得0分。 ②投标人对配合采购人重大活动等内容做出承诺：每完全满足一个评审标准得1分；针对评审标准存在有不合理处的得0.5分；内容与本项目无关或未提供的得0分。 ③对服务期内应急情况下的响应时间等做出承诺：每完全满足一个评审标准得1分；针对评审标准存在有不合理处的得0.5分；内容与本项目无关或未提供的得0分。 ④配合采购人对精细化管理目标实现做出承诺：每完全满足一个评审标准得1分；针对评审标准存在有不合理处的得0.5分；内容与本项目无关或未提供的得0分。 ⑤对市民服务及市民意见处理的专项承诺：每完全满足一个评审标准得1分；针对评审标准存在有不合理处的得0.5分；内容与本项目无关或未提供的得0分。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五年（自2020年1月1日起至今，以合同签订时间为准）同类项目，项目服务期≥6个月的，一个项目得3分；服务期＜6个月的，一个项目得1分。最高15分。（服务期＜6个月的，同一年度最多只计算2个项目，以合同复印件加盖公章为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供应商业绩、信誉证明材料.docx</w:t>
            </w:r>
          </w:p>
        </w:tc>
      </w:tr>
      <w:tr>
        <w:tc>
          <w:tcPr>
            <w:tcW w:type="dxa" w:w="831"/>
            <w:vMerge/>
          </w:tcPr>
          <w:p/>
        </w:tc>
        <w:tc>
          <w:tcPr>
            <w:tcW w:type="dxa" w:w="1661"/>
          </w:tcPr>
          <w:p>
            <w:pPr>
              <w:pStyle w:val="null3"/>
            </w:pPr>
            <w:r>
              <w:rPr>
                <w:rFonts w:ascii="仿宋_GB2312" w:hAnsi="仿宋_GB2312" w:cs="仿宋_GB2312" w:eastAsia="仿宋_GB2312"/>
              </w:rPr>
              <w:t>信誉</w:t>
            </w:r>
          </w:p>
        </w:tc>
        <w:tc>
          <w:tcPr>
            <w:tcW w:type="dxa" w:w="2492"/>
          </w:tcPr>
          <w:p>
            <w:pPr>
              <w:pStyle w:val="null3"/>
            </w:pPr>
            <w:r>
              <w:rPr>
                <w:rFonts w:ascii="仿宋_GB2312" w:hAnsi="仿宋_GB2312" w:cs="仿宋_GB2312" w:eastAsia="仿宋_GB2312"/>
              </w:rPr>
              <w:t>供应商提供近五年（自2020年1月1日起至今）同类项目甲方评价意见（评价为正面评价的），每提供一个得3分，最高9分。（需提供业主单位加盖公章的评价意见，提供业主评价意见的单位须与同类项目合同甲方单位一致）</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供应商业绩、信誉证明材料.docx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以本次满足磋商文件要求的最低磋商报价为磋商基准价，其价格为满分。供应商的价格分，统一按照下列公式计算：最后报价得分=(磋商基准价／最后报价)×10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详见附件：供应商业绩、信誉证明材料.docx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详见附件：供应商应提供的资格证明文件.docx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