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版本号：SXZCZB2025-ZCGK-094220251017002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2025年农商互联暨乡村振兴产销对接活动</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SXZCZB2025-ZCGK-0942</w:t>
      </w:r>
      <w:r>
        <w:br/>
      </w:r>
      <w:r>
        <w:br/>
      </w:r>
      <w:r>
        <w:br/>
      </w:r>
    </w:p>
    <w:p>
      <w:pPr>
        <w:pStyle w:val="null3"/>
        <w:jc w:val="center"/>
        <w:outlineLvl w:val="2"/>
      </w:pPr>
      <w:r>
        <w:rPr>
          <w:rFonts w:ascii="仿宋_GB2312" w:hAnsi="仿宋_GB2312" w:cs="仿宋_GB2312" w:eastAsia="仿宋_GB2312"/>
          <w:sz w:val="28"/>
          <w:b/>
        </w:rPr>
        <w:t>西安市商务局（本级）</w:t>
      </w:r>
    </w:p>
    <w:p>
      <w:pPr>
        <w:pStyle w:val="null3"/>
        <w:jc w:val="center"/>
        <w:outlineLvl w:val="2"/>
      </w:pPr>
      <w:r>
        <w:rPr>
          <w:rFonts w:ascii="仿宋_GB2312" w:hAnsi="仿宋_GB2312" w:cs="仿宋_GB2312" w:eastAsia="仿宋_GB2312"/>
          <w:sz w:val="28"/>
          <w:b/>
        </w:rPr>
        <w:t>陕西至诚项目管理集团有限公司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陕西至诚项目管理集团有限公司</w:t>
      </w:r>
      <w:r>
        <w:rPr>
          <w:rFonts w:ascii="仿宋_GB2312" w:hAnsi="仿宋_GB2312" w:cs="仿宋_GB2312" w:eastAsia="仿宋_GB2312"/>
        </w:rPr>
        <w:t>（以下简称“代理机构”）受</w:t>
      </w:r>
      <w:r>
        <w:rPr>
          <w:rFonts w:ascii="仿宋_GB2312" w:hAnsi="仿宋_GB2312" w:cs="仿宋_GB2312" w:eastAsia="仿宋_GB2312"/>
        </w:rPr>
        <w:t>西安市商务局（本级）</w:t>
      </w:r>
      <w:r>
        <w:rPr>
          <w:rFonts w:ascii="仿宋_GB2312" w:hAnsi="仿宋_GB2312" w:cs="仿宋_GB2312" w:eastAsia="仿宋_GB2312"/>
        </w:rPr>
        <w:t>委托，拟对</w:t>
      </w:r>
      <w:r>
        <w:rPr>
          <w:rFonts w:ascii="仿宋_GB2312" w:hAnsi="仿宋_GB2312" w:cs="仿宋_GB2312" w:eastAsia="仿宋_GB2312"/>
        </w:rPr>
        <w:t>2025年农商互联暨乡村振兴产销对接活动</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SXZCZB2025-ZCGK-0942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2025年农商互联暨乡村振兴产销对接活动</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2025年农商互联暨乡村振兴产销对接活动</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3、财务状况报告：提供2024年度的财务审计报告（成立时间至提交投标文件截止时间不足一年的可提供成立后任意时段的资产负债表），或开标时间前六个月内银行出具的资信证明；</w:t>
      </w:r>
    </w:p>
    <w:p>
      <w:pPr>
        <w:pStyle w:val="null3"/>
      </w:pPr>
      <w:r>
        <w:rPr>
          <w:rFonts w:ascii="仿宋_GB2312" w:hAnsi="仿宋_GB2312" w:cs="仿宋_GB2312" w:eastAsia="仿宋_GB2312"/>
        </w:rPr>
        <w:t>4、税收缴纳证明：提供投标截止日前近一年内任意一个月的纳税证明或完税证明（任意税种），依法免税的单位应提供相关证明材料；</w:t>
      </w:r>
    </w:p>
    <w:p>
      <w:pPr>
        <w:pStyle w:val="null3"/>
      </w:pPr>
      <w:r>
        <w:rPr>
          <w:rFonts w:ascii="仿宋_GB2312" w:hAnsi="仿宋_GB2312" w:cs="仿宋_GB2312" w:eastAsia="仿宋_GB2312"/>
        </w:rPr>
        <w:t>5、社会保障资金缴纳证明：提供近一年已缴存的至少一个月的社会保障资金缴存单据或社保机构开具的社会保险参保缴费情况证明，依法不需要缴纳社会保障资金的单位应提供相关证明材料；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6、信用记录：供应商不得为“信用中国(www.creditchina.gov.cn)”中列入失信被执行人和重大税收违法案件当事人名单的供应商，不得为“中国政府采购网(www.ccgp.gov.cn)”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政府采购严重违法失信行为记录名单中被财政部门禁止参加政府采购活动的供应商（采购代理机构查询时限为响应文件递交截止之日）</w:t>
      </w:r>
    </w:p>
    <w:p>
      <w:pPr>
        <w:pStyle w:val="null3"/>
      </w:pPr>
      <w:r>
        <w:rPr>
          <w:rFonts w:ascii="仿宋_GB2312" w:hAnsi="仿宋_GB2312" w:cs="仿宋_GB2312" w:eastAsia="仿宋_GB2312"/>
        </w:rPr>
        <w:t>7、书面声明：参加政府采购活动前三年内，在经营活动中没有重大违法记录的书面声明（成立时间至提交投标文件截止时间不足三年的可提供成立至今的书面声明）；</w:t>
      </w:r>
    </w:p>
    <w:p>
      <w:pPr>
        <w:pStyle w:val="null3"/>
      </w:pPr>
      <w:r>
        <w:rPr>
          <w:rFonts w:ascii="仿宋_GB2312" w:hAnsi="仿宋_GB2312" w:cs="仿宋_GB2312" w:eastAsia="仿宋_GB2312"/>
        </w:rPr>
        <w:t>8、书面承诺：提供具有履行合同所必需的设备和专业技术能力的承诺；</w:t>
      </w:r>
    </w:p>
    <w:p>
      <w:pPr>
        <w:pStyle w:val="null3"/>
      </w:pPr>
      <w:r>
        <w:rPr>
          <w:rFonts w:ascii="仿宋_GB2312" w:hAnsi="仿宋_GB2312" w:cs="仿宋_GB2312" w:eastAsia="仿宋_GB2312"/>
        </w:rPr>
        <w:t>9、联合体要求：以联合体形式进行政府采购的，参加联合体的投标人均应当具备《中华人民共和国政府采购法》第二十二条规定的条件，并提供联合体协议。 其他要求： （1）联合体数量不超过2家。 （2）联合体协议载明需载明联合体各方承担的工作和义务。联合体各方应当共同与采购人签订合同，就合同约定的事项对采购人承担连带责任。（3）联合体中有同类资质的供应商按照联合体分工承担相同工作的，应当按照资质等级较低的供应商确定资质等级。（4）以联合体形式参加政府采购活动的，联合体各方不得再单独参加或者与其他投标人另外组成联合体参加同一合同项下的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西安市商务局（本级）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029-86786498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陕西至诚项目管理集团有限公司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陕西省西安市经济技术开发区未央路171-1号银池道拉斯财富中心21楼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胡晓均、倪沛、王欣玫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029-88219779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招标代理服务收费管理暂行办法》（计价格[2002]1980号）和国家发展和改革委员会办公厅颁发的《关于招标代理服务收费有关问题的通知》（发改办价格[2003]857号）的有关规定执行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西安市商务局（本级）</w:t>
      </w:r>
      <w:r>
        <w:rPr>
          <w:rFonts w:ascii="仿宋_GB2312" w:hAnsi="仿宋_GB2312" w:cs="仿宋_GB2312" w:eastAsia="仿宋_GB2312"/>
        </w:rPr>
        <w:t>和</w:t>
      </w:r>
      <w:r>
        <w:rPr>
          <w:rFonts w:ascii="仿宋_GB2312" w:hAnsi="仿宋_GB2312" w:cs="仿宋_GB2312" w:eastAsia="仿宋_GB2312"/>
        </w:rPr>
        <w:t>陕西至诚项目管理集团有限公司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西安市商务局（本级）</w:t>
      </w:r>
      <w:r>
        <w:rPr>
          <w:rFonts w:ascii="仿宋_GB2312" w:hAnsi="仿宋_GB2312" w:cs="仿宋_GB2312" w:eastAsia="仿宋_GB2312"/>
        </w:rPr>
        <w:t>负责解释。除上述招标文件内容，其他内容由</w:t>
      </w:r>
      <w:r>
        <w:rPr>
          <w:rFonts w:ascii="仿宋_GB2312" w:hAnsi="仿宋_GB2312" w:cs="仿宋_GB2312" w:eastAsia="仿宋_GB2312"/>
        </w:rPr>
        <w:t>陕西至诚项目管理集团有限公司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西安市商务局（本级）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陕西至诚项目管理集团有限公司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 胡晓均、倪沛、王欣玫</w:t>
      </w:r>
    </w:p>
    <w:p>
      <w:pPr>
        <w:pStyle w:val="null3"/>
      </w:pPr>
      <w:r>
        <w:rPr>
          <w:rFonts w:ascii="仿宋_GB2312" w:hAnsi="仿宋_GB2312" w:cs="仿宋_GB2312" w:eastAsia="仿宋_GB2312"/>
        </w:rPr>
        <w:t>联系电话：029-88219779</w:t>
      </w:r>
    </w:p>
    <w:p>
      <w:pPr>
        <w:pStyle w:val="null3"/>
      </w:pPr>
      <w:r>
        <w:rPr>
          <w:rFonts w:ascii="仿宋_GB2312" w:hAnsi="仿宋_GB2312" w:cs="仿宋_GB2312" w:eastAsia="仿宋_GB2312"/>
        </w:rPr>
        <w:t>地址：陕西省西安市经济技术开发区未央路171-1号银池道拉斯财富中心21楼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2025年农商互联暨乡村振兴产销对接活动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3,700,000.00</w:t>
      </w:r>
    </w:p>
    <w:p>
      <w:pPr>
        <w:pStyle w:val="null3"/>
      </w:pPr>
      <w:r>
        <w:rPr>
          <w:rFonts w:ascii="仿宋_GB2312" w:hAnsi="仿宋_GB2312" w:cs="仿宋_GB2312" w:eastAsia="仿宋_GB2312"/>
        </w:rPr>
        <w:t>采购包最高限价（元）: 3,700,000.00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2025年农商互联暨乡村振兴产销对接活动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标的名称：2025年农商互联暨乡村振兴产销对接活动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65"/>
              <w:ind w:firstLine="562"/>
            </w:pPr>
            <w:r>
              <w:rPr>
                <w:rFonts w:ascii="仿宋_GB2312" w:hAnsi="仿宋_GB2312" w:cs="仿宋_GB2312" w:eastAsia="仿宋_GB2312"/>
                <w:sz w:val="21"/>
                <w:b/>
              </w:rPr>
              <w:t>一、项目概况</w:t>
            </w:r>
          </w:p>
          <w:p>
            <w:pPr>
              <w:pStyle w:val="null3"/>
              <w:ind w:firstLine="560"/>
            </w:pPr>
            <w:r>
              <w:rPr>
                <w:rFonts w:ascii="仿宋_GB2312" w:hAnsi="仿宋_GB2312" w:cs="仿宋_GB2312" w:eastAsia="仿宋_GB2312"/>
                <w:sz w:val="21"/>
              </w:rPr>
              <w:t>为积极响应国家乡村振兴战略，推动农产品产销有效对接，促进农业产业升级与农村经济发展，</w:t>
            </w:r>
            <w:r>
              <w:rPr>
                <w:rFonts w:ascii="仿宋_GB2312" w:hAnsi="仿宋_GB2312" w:cs="仿宋_GB2312" w:eastAsia="仿宋_GB2312"/>
                <w:sz w:val="21"/>
              </w:rPr>
              <w:t>我局拟</w:t>
            </w:r>
            <w:r>
              <w:rPr>
                <w:rFonts w:ascii="仿宋_GB2312" w:hAnsi="仿宋_GB2312" w:cs="仿宋_GB2312" w:eastAsia="仿宋_GB2312"/>
                <w:sz w:val="21"/>
              </w:rPr>
              <w:t>计划于</w:t>
            </w:r>
            <w:r>
              <w:rPr>
                <w:rFonts w:ascii="仿宋_GB2312" w:hAnsi="仿宋_GB2312" w:cs="仿宋_GB2312" w:eastAsia="仿宋_GB2312"/>
                <w:sz w:val="21"/>
              </w:rPr>
              <w:t>2025</w:t>
            </w:r>
            <w:r>
              <w:rPr>
                <w:rFonts w:ascii="仿宋_GB2312" w:hAnsi="仿宋_GB2312" w:cs="仿宋_GB2312" w:eastAsia="仿宋_GB2312"/>
                <w:sz w:val="21"/>
              </w:rPr>
              <w:t>年</w:t>
            </w:r>
            <w:r>
              <w:rPr>
                <w:rFonts w:ascii="仿宋_GB2312" w:hAnsi="仿宋_GB2312" w:cs="仿宋_GB2312" w:eastAsia="仿宋_GB2312"/>
                <w:sz w:val="21"/>
              </w:rPr>
              <w:t>11</w:t>
            </w:r>
            <w:r>
              <w:rPr>
                <w:rFonts w:ascii="仿宋_GB2312" w:hAnsi="仿宋_GB2312" w:cs="仿宋_GB2312" w:eastAsia="仿宋_GB2312"/>
                <w:sz w:val="21"/>
              </w:rPr>
              <w:t>月</w:t>
            </w:r>
            <w:r>
              <w:rPr>
                <w:rFonts w:ascii="仿宋_GB2312" w:hAnsi="仿宋_GB2312" w:cs="仿宋_GB2312" w:eastAsia="仿宋_GB2312"/>
                <w:sz w:val="21"/>
              </w:rPr>
              <w:t>至</w:t>
            </w:r>
            <w:r>
              <w:rPr>
                <w:rFonts w:ascii="仿宋_GB2312" w:hAnsi="仿宋_GB2312" w:cs="仿宋_GB2312" w:eastAsia="仿宋_GB2312"/>
                <w:sz w:val="21"/>
              </w:rPr>
              <w:t>12</w:t>
            </w:r>
            <w:r>
              <w:rPr>
                <w:rFonts w:ascii="仿宋_GB2312" w:hAnsi="仿宋_GB2312" w:cs="仿宋_GB2312" w:eastAsia="仿宋_GB2312"/>
                <w:sz w:val="21"/>
              </w:rPr>
              <w:t>月底期间在西安市</w:t>
            </w:r>
            <w:r>
              <w:rPr>
                <w:rFonts w:ascii="仿宋_GB2312" w:hAnsi="仿宋_GB2312" w:cs="仿宋_GB2312" w:eastAsia="仿宋_GB2312"/>
                <w:sz w:val="21"/>
              </w:rPr>
              <w:t>举办</w:t>
            </w:r>
            <w:r>
              <w:rPr>
                <w:rFonts w:ascii="仿宋_GB2312" w:hAnsi="仿宋_GB2312" w:cs="仿宋_GB2312" w:eastAsia="仿宋_GB2312"/>
                <w:sz w:val="21"/>
              </w:rPr>
              <w:t>为期</w:t>
            </w:r>
            <w:r>
              <w:rPr>
                <w:rFonts w:ascii="仿宋_GB2312" w:hAnsi="仿宋_GB2312" w:cs="仿宋_GB2312" w:eastAsia="仿宋_GB2312"/>
                <w:sz w:val="21"/>
              </w:rPr>
              <w:t>3天的</w:t>
            </w:r>
            <w:r>
              <w:rPr>
                <w:rFonts w:ascii="仿宋_GB2312" w:hAnsi="仿宋_GB2312" w:cs="仿宋_GB2312" w:eastAsia="仿宋_GB2312"/>
                <w:sz w:val="21"/>
              </w:rPr>
              <w:t>2025年全国农商互联暨乡村振兴产销对接活动</w:t>
            </w:r>
            <w:r>
              <w:rPr>
                <w:rFonts w:ascii="仿宋_GB2312" w:hAnsi="仿宋_GB2312" w:cs="仿宋_GB2312" w:eastAsia="仿宋_GB2312"/>
                <w:sz w:val="21"/>
              </w:rPr>
              <w:t>。本次对接会旨在搭建一个集农产品展示、信息交流、商务洽谈为一体的综合性平台，拟邀请全国范围内的优质农产品生产商、供应商、采购商及行业专家参与。现就展会展位搭建及展览展示服务进行公开招标，以确保活动顺利进行并取得预期成效。</w:t>
            </w:r>
          </w:p>
          <w:p>
            <w:pPr>
              <w:pStyle w:val="null3"/>
              <w:ind w:firstLine="562"/>
            </w:pPr>
            <w:r>
              <w:rPr>
                <w:rFonts w:ascii="仿宋_GB2312" w:hAnsi="仿宋_GB2312" w:cs="仿宋_GB2312" w:eastAsia="仿宋_GB2312"/>
                <w:sz w:val="21"/>
                <w:b/>
              </w:rPr>
              <w:t>二、工作内容</w:t>
            </w:r>
          </w:p>
          <w:p>
            <w:pPr>
              <w:pStyle w:val="null3"/>
              <w:ind w:firstLine="560"/>
            </w:pPr>
            <w:r>
              <w:rPr>
                <w:rFonts w:ascii="仿宋_GB2312" w:hAnsi="仿宋_GB2312" w:cs="仿宋_GB2312" w:eastAsia="仿宋_GB2312"/>
                <w:sz w:val="21"/>
              </w:rPr>
              <w:t>(一）场地：</w:t>
            </w:r>
          </w:p>
          <w:p>
            <w:pPr>
              <w:pStyle w:val="null3"/>
              <w:ind w:firstLine="560"/>
            </w:pPr>
            <w:r>
              <w:rPr>
                <w:rFonts w:ascii="仿宋_GB2312" w:hAnsi="仿宋_GB2312" w:cs="仿宋_GB2312" w:eastAsia="仿宋_GB2312"/>
                <w:sz w:val="21"/>
              </w:rPr>
              <w:t>1、供应商应提前考察、选择展馆总面积不小于10000平方米的适合举办“</w:t>
            </w:r>
            <w:r>
              <w:rPr>
                <w:rFonts w:ascii="仿宋_GB2312" w:hAnsi="仿宋_GB2312" w:cs="仿宋_GB2312" w:eastAsia="仿宋_GB2312"/>
                <w:sz w:val="21"/>
              </w:rPr>
              <w:t>2025年全国农商互联暨乡村振兴产销对接活动</w:t>
            </w:r>
            <w:r>
              <w:rPr>
                <w:rFonts w:ascii="仿宋_GB2312" w:hAnsi="仿宋_GB2312" w:cs="仿宋_GB2312" w:eastAsia="仿宋_GB2312"/>
                <w:sz w:val="21"/>
              </w:rPr>
              <w:t>”的场地。</w:t>
            </w:r>
          </w:p>
          <w:p>
            <w:pPr>
              <w:pStyle w:val="null3"/>
              <w:ind w:firstLine="560"/>
            </w:pPr>
            <w:r>
              <w:rPr>
                <w:rFonts w:ascii="仿宋_GB2312" w:hAnsi="仿宋_GB2312" w:cs="仿宋_GB2312" w:eastAsia="仿宋_GB2312"/>
                <w:sz w:val="21"/>
              </w:rPr>
              <w:t>2、供应商</w:t>
            </w:r>
            <w:r>
              <w:rPr>
                <w:rFonts w:ascii="仿宋_GB2312" w:hAnsi="仿宋_GB2312" w:cs="仿宋_GB2312" w:eastAsia="仿宋_GB2312"/>
                <w:sz w:val="21"/>
              </w:rPr>
              <w:t>负责会场搭建布置、物料设计制作、媒体宣传及宣传片制作、嘉宾咨询、主持人及礼仪、会务接待、会期安保、后勤保障、整体策划、方案设计、流程安排、现场执行等、活动方案设计、施工及相关设备、材料的采购供应，安装调试和撤场等。</w:t>
            </w:r>
          </w:p>
          <w:p>
            <w:pPr>
              <w:pStyle w:val="null3"/>
              <w:ind w:firstLine="560"/>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）农产品产销相关企业邀约：</w:t>
            </w:r>
          </w:p>
          <w:p>
            <w:pPr>
              <w:pStyle w:val="null3"/>
              <w:ind w:firstLine="560"/>
            </w:pPr>
            <w:r>
              <w:rPr>
                <w:rFonts w:ascii="仿宋_GB2312" w:hAnsi="仿宋_GB2312" w:cs="仿宋_GB2312" w:eastAsia="仿宋_GB2312"/>
                <w:sz w:val="21"/>
              </w:rPr>
              <w:t>1、</w:t>
            </w:r>
            <w:r>
              <w:rPr>
                <w:rFonts w:ascii="仿宋_GB2312" w:hAnsi="仿宋_GB2312" w:cs="仿宋_GB2312" w:eastAsia="仿宋_GB2312"/>
                <w:sz w:val="21"/>
              </w:rPr>
              <w:t>邀请不少于</w:t>
            </w:r>
            <w:r>
              <w:rPr>
                <w:rFonts w:ascii="仿宋_GB2312" w:hAnsi="仿宋_GB2312" w:cs="仿宋_GB2312" w:eastAsia="仿宋_GB2312"/>
                <w:sz w:val="21"/>
              </w:rPr>
              <w:t>80家</w:t>
            </w:r>
            <w:r>
              <w:rPr>
                <w:rFonts w:ascii="仿宋_GB2312" w:hAnsi="仿宋_GB2312" w:cs="仿宋_GB2312" w:eastAsia="仿宋_GB2312"/>
                <w:sz w:val="21"/>
              </w:rPr>
              <w:t>全国农产品流通全渠道采购商、重点农产品批发市场运营主体、农产品经销商</w:t>
            </w:r>
            <w:r>
              <w:rPr>
                <w:rFonts w:ascii="仿宋_GB2312" w:hAnsi="仿宋_GB2312" w:cs="仿宋_GB2312" w:eastAsia="仿宋_GB2312"/>
                <w:sz w:val="21"/>
              </w:rPr>
              <w:t>参展参会</w:t>
            </w:r>
            <w:r>
              <w:rPr>
                <w:rFonts w:ascii="仿宋_GB2312" w:hAnsi="仿宋_GB2312" w:cs="仿宋_GB2312" w:eastAsia="仿宋_GB2312"/>
                <w:sz w:val="21"/>
              </w:rPr>
              <w:t>，</w:t>
            </w:r>
            <w:r>
              <w:rPr>
                <w:rFonts w:ascii="仿宋_GB2312" w:hAnsi="仿宋_GB2312" w:cs="仿宋_GB2312" w:eastAsia="仿宋_GB2312"/>
                <w:sz w:val="21"/>
              </w:rPr>
              <w:t>其中全国百强农产品批发市场及全国知名流通企业不少于</w:t>
            </w:r>
            <w:r>
              <w:rPr>
                <w:rFonts w:ascii="仿宋_GB2312" w:hAnsi="仿宋_GB2312" w:cs="仿宋_GB2312" w:eastAsia="仿宋_GB2312"/>
                <w:sz w:val="21"/>
              </w:rPr>
              <w:t>20家；</w:t>
            </w:r>
          </w:p>
          <w:p>
            <w:pPr>
              <w:pStyle w:val="null3"/>
              <w:ind w:firstLine="560"/>
            </w:pPr>
            <w:r>
              <w:rPr>
                <w:rFonts w:ascii="仿宋_GB2312" w:hAnsi="仿宋_GB2312" w:cs="仿宋_GB2312" w:eastAsia="仿宋_GB2312"/>
                <w:sz w:val="21"/>
              </w:rPr>
              <w:t>2、负责推动达成意向签约不少于25家，签约规模不少于10亿元。</w:t>
            </w:r>
          </w:p>
          <w:p>
            <w:pPr>
              <w:pStyle w:val="null3"/>
              <w:ind w:firstLine="560"/>
            </w:pPr>
            <w:r>
              <w:rPr>
                <w:rFonts w:ascii="仿宋_GB2312" w:hAnsi="仿宋_GB2312" w:cs="仿宋_GB2312" w:eastAsia="仿宋_GB2312"/>
                <w:sz w:val="21"/>
              </w:rPr>
              <w:t>（</w:t>
            </w:r>
            <w:r>
              <w:rPr>
                <w:rFonts w:ascii="仿宋_GB2312" w:hAnsi="仿宋_GB2312" w:cs="仿宋_GB2312" w:eastAsia="仿宋_GB2312"/>
                <w:sz w:val="21"/>
              </w:rPr>
              <w:t>三</w:t>
            </w:r>
            <w:r>
              <w:rPr>
                <w:rFonts w:ascii="仿宋_GB2312" w:hAnsi="仿宋_GB2312" w:cs="仿宋_GB2312" w:eastAsia="仿宋_GB2312"/>
                <w:sz w:val="21"/>
              </w:rPr>
              <w:t>）展位设计与搭建：</w:t>
            </w:r>
          </w:p>
          <w:p>
            <w:pPr>
              <w:pStyle w:val="null3"/>
              <w:ind w:firstLine="560"/>
            </w:pPr>
            <w:r>
              <w:rPr>
                <w:rFonts w:ascii="仿宋_GB2312" w:hAnsi="仿宋_GB2312" w:cs="仿宋_GB2312" w:eastAsia="仿宋_GB2312"/>
                <w:sz w:val="21"/>
              </w:rPr>
              <w:t>1、</w:t>
            </w:r>
            <w:r>
              <w:rPr>
                <w:rFonts w:ascii="仿宋_GB2312" w:hAnsi="仿宋_GB2312" w:cs="仿宋_GB2312" w:eastAsia="仿宋_GB2312"/>
                <w:sz w:val="21"/>
              </w:rPr>
              <w:t>由供应商根据大会需求进行会场策划、设计、搭建，需设置舞台区展位搭建、不少于</w:t>
            </w:r>
            <w:r>
              <w:rPr>
                <w:rFonts w:ascii="仿宋_GB2312" w:hAnsi="仿宋_GB2312" w:cs="仿宋_GB2312" w:eastAsia="仿宋_GB2312"/>
                <w:sz w:val="21"/>
              </w:rPr>
              <w:t>60个展位的展销，提供符合农产品产销对接会主题创意展位设计平面规划方案、会场布置效果图、现场排位图；并负责施工搭建，确保展位结构安全、美观大方。</w:t>
            </w:r>
          </w:p>
          <w:p>
            <w:pPr>
              <w:pStyle w:val="null3"/>
              <w:ind w:firstLine="560"/>
            </w:pPr>
            <w:r>
              <w:rPr>
                <w:rFonts w:ascii="仿宋_GB2312" w:hAnsi="仿宋_GB2312" w:cs="仿宋_GB2312" w:eastAsia="仿宋_GB2312"/>
                <w:sz w:val="21"/>
              </w:rPr>
              <w:t>2.根据大会时间安排，合理开展现场活动及氛围营造；</w:t>
            </w:r>
          </w:p>
          <w:p>
            <w:pPr>
              <w:pStyle w:val="null3"/>
              <w:ind w:firstLine="560"/>
            </w:pPr>
            <w:r>
              <w:rPr>
                <w:rFonts w:ascii="仿宋_GB2312" w:hAnsi="仿宋_GB2312" w:cs="仿宋_GB2312" w:eastAsia="仿宋_GB2312"/>
                <w:sz w:val="21"/>
              </w:rPr>
              <w:t>3.根据活动内容，制作相关宣传物料。需充分考虑宣传物料的文化感、设计感与材质，内容需紧扣主题。</w:t>
            </w:r>
          </w:p>
          <w:p>
            <w:pPr>
              <w:pStyle w:val="null3"/>
              <w:ind w:firstLine="562"/>
            </w:pPr>
            <w:r>
              <w:rPr>
                <w:rFonts w:ascii="仿宋_GB2312" w:hAnsi="仿宋_GB2312" w:cs="仿宋_GB2312" w:eastAsia="仿宋_GB2312"/>
                <w:sz w:val="21"/>
                <w:b/>
              </w:rPr>
              <w:t>三、技术要求（如有，一般适合于技术服务项目）</w:t>
            </w:r>
          </w:p>
          <w:p>
            <w:pPr>
              <w:pStyle w:val="null3"/>
              <w:ind w:firstLine="560"/>
            </w:pPr>
            <w:r>
              <w:rPr>
                <w:rFonts w:ascii="仿宋_GB2312" w:hAnsi="仿宋_GB2312" w:cs="仿宋_GB2312" w:eastAsia="仿宋_GB2312"/>
                <w:sz w:val="21"/>
              </w:rPr>
              <w:t>（一）展位设计与搭建技术要求</w:t>
            </w:r>
          </w:p>
          <w:p>
            <w:pPr>
              <w:pStyle w:val="null3"/>
              <w:ind w:firstLine="560"/>
            </w:pPr>
            <w:r>
              <w:rPr>
                <w:rFonts w:ascii="仿宋_GB2312" w:hAnsi="仿宋_GB2312" w:cs="仿宋_GB2312" w:eastAsia="仿宋_GB2312"/>
                <w:sz w:val="21"/>
              </w:rPr>
              <w:t>1、设计创意与主题契合：</w:t>
            </w:r>
          </w:p>
          <w:p>
            <w:pPr>
              <w:pStyle w:val="null3"/>
              <w:ind w:firstLine="560"/>
            </w:pPr>
            <w:r>
              <w:rPr>
                <w:rFonts w:ascii="仿宋_GB2312" w:hAnsi="仿宋_GB2312" w:cs="仿宋_GB2312" w:eastAsia="仿宋_GB2312"/>
                <w:sz w:val="21"/>
              </w:rPr>
              <w:t>1.1 设计方案需紧密围绕“乡村振兴”主题，体现农产品特色与地域文化。</w:t>
            </w:r>
          </w:p>
          <w:p>
            <w:pPr>
              <w:pStyle w:val="null3"/>
              <w:ind w:firstLine="560"/>
            </w:pPr>
            <w:r>
              <w:rPr>
                <w:rFonts w:ascii="仿宋_GB2312" w:hAnsi="仿宋_GB2312" w:cs="仿宋_GB2312" w:eastAsia="仿宋_GB2312"/>
                <w:sz w:val="21"/>
              </w:rPr>
              <w:t>1.2 鼓励创新设计，使用现代设计理念与传统元素相结合，提升展位吸引力。</w:t>
            </w:r>
          </w:p>
          <w:p>
            <w:pPr>
              <w:pStyle w:val="null3"/>
              <w:ind w:firstLine="560"/>
            </w:pPr>
            <w:r>
              <w:rPr>
                <w:rFonts w:ascii="仿宋_GB2312" w:hAnsi="仿宋_GB2312" w:cs="仿宋_GB2312" w:eastAsia="仿宋_GB2312"/>
                <w:sz w:val="21"/>
              </w:rPr>
              <w:t>1.3 结构安全与稳定性：</w:t>
            </w:r>
          </w:p>
          <w:p>
            <w:pPr>
              <w:pStyle w:val="null3"/>
              <w:ind w:firstLine="560"/>
            </w:pPr>
            <w:r>
              <w:rPr>
                <w:rFonts w:ascii="仿宋_GB2312" w:hAnsi="仿宋_GB2312" w:cs="仿宋_GB2312" w:eastAsia="仿宋_GB2312"/>
                <w:sz w:val="21"/>
              </w:rPr>
              <w:t>2、展位结构必须符合建筑安全规范，能够承受预期的人流压力及天气变化（如风雨）。</w:t>
            </w:r>
          </w:p>
          <w:p>
            <w:pPr>
              <w:pStyle w:val="null3"/>
              <w:ind w:firstLine="560"/>
            </w:pPr>
            <w:r>
              <w:rPr>
                <w:rFonts w:ascii="仿宋_GB2312" w:hAnsi="仿宋_GB2312" w:cs="仿宋_GB2312" w:eastAsia="仿宋_GB2312"/>
                <w:sz w:val="21"/>
              </w:rPr>
              <w:t>2.1 提供结构计算书及安全认证材料，确保搭建材料质量可靠。</w:t>
            </w:r>
          </w:p>
          <w:p>
            <w:pPr>
              <w:pStyle w:val="null3"/>
              <w:ind w:firstLine="560"/>
            </w:pPr>
            <w:r>
              <w:rPr>
                <w:rFonts w:ascii="仿宋_GB2312" w:hAnsi="仿宋_GB2312" w:cs="仿宋_GB2312" w:eastAsia="仿宋_GB2312"/>
                <w:sz w:val="21"/>
              </w:rPr>
              <w:t>2.2 环保与可持续性：</w:t>
            </w:r>
          </w:p>
          <w:p>
            <w:pPr>
              <w:pStyle w:val="null3"/>
              <w:ind w:firstLine="560"/>
            </w:pPr>
            <w:r>
              <w:rPr>
                <w:rFonts w:ascii="仿宋_GB2312" w:hAnsi="仿宋_GB2312" w:cs="仿宋_GB2312" w:eastAsia="仿宋_GB2312"/>
                <w:sz w:val="21"/>
              </w:rPr>
              <w:t>2.3 优先选用环保材料，减少一次性用品的使用，促进资源循环利用。</w:t>
            </w:r>
          </w:p>
          <w:p>
            <w:pPr>
              <w:pStyle w:val="null3"/>
              <w:ind w:firstLine="560"/>
            </w:pPr>
            <w:r>
              <w:rPr>
                <w:rFonts w:ascii="仿宋_GB2312" w:hAnsi="仿宋_GB2312" w:cs="仿宋_GB2312" w:eastAsia="仿宋_GB2312"/>
                <w:sz w:val="21"/>
              </w:rPr>
              <w:t>2.4 展位设计应考虑后期拆除与回收的便利性，降低对环境的影响。</w:t>
            </w:r>
          </w:p>
          <w:p>
            <w:pPr>
              <w:pStyle w:val="null3"/>
              <w:ind w:firstLine="560"/>
            </w:pPr>
            <w:r>
              <w:rPr>
                <w:rFonts w:ascii="仿宋_GB2312" w:hAnsi="仿宋_GB2312" w:cs="仿宋_GB2312" w:eastAsia="仿宋_GB2312"/>
                <w:sz w:val="21"/>
              </w:rPr>
              <w:t>3、功能布局合理性：</w:t>
            </w:r>
          </w:p>
          <w:p>
            <w:pPr>
              <w:pStyle w:val="null3"/>
              <w:ind w:firstLine="560"/>
            </w:pPr>
            <w:r>
              <w:rPr>
                <w:rFonts w:ascii="仿宋_GB2312" w:hAnsi="仿宋_GB2312" w:cs="仿宋_GB2312" w:eastAsia="仿宋_GB2312"/>
                <w:sz w:val="21"/>
              </w:rPr>
              <w:t>3.1 根据参展商需求，合理规划展位空间，确保展品展示、洽谈交流、休息等候等功能区域分布合理。</w:t>
            </w:r>
          </w:p>
          <w:p>
            <w:pPr>
              <w:pStyle w:val="null3"/>
              <w:ind w:firstLine="560"/>
            </w:pPr>
            <w:r>
              <w:rPr>
                <w:rFonts w:ascii="仿宋_GB2312" w:hAnsi="仿宋_GB2312" w:cs="仿宋_GB2312" w:eastAsia="仿宋_GB2312"/>
                <w:sz w:val="21"/>
              </w:rPr>
              <w:t>3.2 考虑人流导向设计，避免拥堵，提升参观体验。</w:t>
            </w:r>
          </w:p>
          <w:p>
            <w:pPr>
              <w:pStyle w:val="null3"/>
              <w:ind w:firstLine="560"/>
            </w:pPr>
            <w:r>
              <w:rPr>
                <w:rFonts w:ascii="仿宋_GB2312" w:hAnsi="仿宋_GB2312" w:cs="仿宋_GB2312" w:eastAsia="仿宋_GB2312"/>
                <w:sz w:val="21"/>
              </w:rPr>
              <w:t>4、照明与视觉效果：</w:t>
            </w:r>
          </w:p>
          <w:p>
            <w:pPr>
              <w:pStyle w:val="null3"/>
              <w:ind w:firstLine="560"/>
            </w:pPr>
            <w:r>
              <w:rPr>
                <w:rFonts w:ascii="仿宋_GB2312" w:hAnsi="仿宋_GB2312" w:cs="仿宋_GB2312" w:eastAsia="仿宋_GB2312"/>
                <w:sz w:val="21"/>
              </w:rPr>
              <w:t>4.1 照明设计需突出展品特色，营造舒适的参观环境。</w:t>
            </w:r>
          </w:p>
          <w:p>
            <w:pPr>
              <w:pStyle w:val="null3"/>
              <w:ind w:firstLine="560"/>
            </w:pPr>
            <w:r>
              <w:rPr>
                <w:rFonts w:ascii="仿宋_GB2312" w:hAnsi="仿宋_GB2312" w:cs="仿宋_GB2312" w:eastAsia="仿宋_GB2312"/>
                <w:sz w:val="21"/>
              </w:rPr>
              <w:t>4.2 使用高效节能灯具，减少能源消耗。</w:t>
            </w:r>
          </w:p>
          <w:p>
            <w:pPr>
              <w:pStyle w:val="null3"/>
              <w:ind w:firstLine="560"/>
            </w:pPr>
            <w:r>
              <w:rPr>
                <w:rFonts w:ascii="仿宋_GB2312" w:hAnsi="仿宋_GB2312" w:cs="仿宋_GB2312" w:eastAsia="仿宋_GB2312"/>
                <w:sz w:val="21"/>
              </w:rPr>
              <w:t>4.3 考虑夜间照明效果，提升展位夜间吸引力（如适用）。</w:t>
            </w:r>
          </w:p>
          <w:p>
            <w:pPr>
              <w:pStyle w:val="null3"/>
              <w:ind w:firstLine="560"/>
            </w:pPr>
            <w:r>
              <w:rPr>
                <w:rFonts w:ascii="仿宋_GB2312" w:hAnsi="仿宋_GB2312" w:cs="仿宋_GB2312" w:eastAsia="仿宋_GB2312"/>
                <w:sz w:val="21"/>
              </w:rPr>
              <w:t>（二）展览展示技术要求</w:t>
            </w:r>
          </w:p>
          <w:p>
            <w:pPr>
              <w:pStyle w:val="null3"/>
              <w:ind w:firstLine="560"/>
            </w:pPr>
            <w:r>
              <w:rPr>
                <w:rFonts w:ascii="仿宋_GB2312" w:hAnsi="仿宋_GB2312" w:cs="仿宋_GB2312" w:eastAsia="仿宋_GB2312"/>
                <w:sz w:val="21"/>
              </w:rPr>
              <w:t>1、多媒体展示系统：</w:t>
            </w:r>
          </w:p>
          <w:p>
            <w:pPr>
              <w:pStyle w:val="null3"/>
              <w:ind w:firstLine="560"/>
            </w:pPr>
            <w:r>
              <w:rPr>
                <w:rFonts w:ascii="仿宋_GB2312" w:hAnsi="仿宋_GB2312" w:cs="仿宋_GB2312" w:eastAsia="仿宋_GB2312"/>
                <w:sz w:val="21"/>
              </w:rPr>
              <w:t>1.1 提供高清LED屏幕、触控一体机或多媒体播放设备等，支持视频、图片、文字等多种形式的展示内容。</w:t>
            </w:r>
          </w:p>
          <w:p>
            <w:pPr>
              <w:pStyle w:val="null3"/>
              <w:ind w:firstLine="560"/>
            </w:pPr>
            <w:r>
              <w:rPr>
                <w:rFonts w:ascii="仿宋_GB2312" w:hAnsi="仿宋_GB2312" w:cs="仿宋_GB2312" w:eastAsia="仿宋_GB2312"/>
                <w:sz w:val="21"/>
              </w:rPr>
              <w:t>1.2 确保多媒体设备稳定运行，兼容多种文件格式，支持远程控制与更新内容</w:t>
            </w:r>
          </w:p>
          <w:p>
            <w:pPr>
              <w:pStyle w:val="null3"/>
              <w:ind w:firstLine="560"/>
            </w:pPr>
            <w:r>
              <w:rPr>
                <w:rFonts w:ascii="仿宋_GB2312" w:hAnsi="仿宋_GB2312" w:cs="仿宋_GB2312" w:eastAsia="仿宋_GB2312"/>
                <w:sz w:val="21"/>
              </w:rPr>
              <w:t>2、音响系统：</w:t>
            </w:r>
          </w:p>
          <w:p>
            <w:pPr>
              <w:pStyle w:val="null3"/>
              <w:ind w:firstLine="560"/>
            </w:pPr>
            <w:r>
              <w:rPr>
                <w:rFonts w:ascii="仿宋_GB2312" w:hAnsi="仿宋_GB2312" w:cs="仿宋_GB2312" w:eastAsia="仿宋_GB2312"/>
                <w:sz w:val="21"/>
              </w:rPr>
              <w:t>2.1 配置高质量的音响设备，确保声音清晰、音量适中，避免噪音干扰。</w:t>
            </w:r>
          </w:p>
          <w:p>
            <w:pPr>
              <w:pStyle w:val="null3"/>
              <w:ind w:firstLine="560"/>
            </w:pPr>
            <w:r>
              <w:rPr>
                <w:rFonts w:ascii="仿宋_GB2312" w:hAnsi="仿宋_GB2312" w:cs="仿宋_GB2312" w:eastAsia="仿宋_GB2312"/>
                <w:sz w:val="21"/>
              </w:rPr>
              <w:t>2.2 支持背景音乐播放、现场解说及互动音效等功能。</w:t>
            </w:r>
          </w:p>
          <w:p>
            <w:pPr>
              <w:pStyle w:val="null3"/>
              <w:ind w:firstLine="560"/>
            </w:pPr>
            <w:r>
              <w:rPr>
                <w:rFonts w:ascii="仿宋_GB2312" w:hAnsi="仿宋_GB2312" w:cs="仿宋_GB2312" w:eastAsia="仿宋_GB2312"/>
                <w:sz w:val="21"/>
              </w:rPr>
              <w:t>（三）其他技术要求</w:t>
            </w:r>
          </w:p>
          <w:p>
            <w:pPr>
              <w:pStyle w:val="null3"/>
              <w:ind w:firstLine="560"/>
            </w:pPr>
            <w:r>
              <w:rPr>
                <w:rFonts w:ascii="仿宋_GB2312" w:hAnsi="仿宋_GB2312" w:cs="仿宋_GB2312" w:eastAsia="仿宋_GB2312"/>
                <w:sz w:val="21"/>
              </w:rPr>
              <w:t>1、紧急预案与安全保障：</w:t>
            </w:r>
          </w:p>
          <w:p>
            <w:pPr>
              <w:pStyle w:val="null3"/>
              <w:ind w:firstLine="560"/>
            </w:pPr>
            <w:r>
              <w:rPr>
                <w:rFonts w:ascii="仿宋_GB2312" w:hAnsi="仿宋_GB2312" w:cs="仿宋_GB2312" w:eastAsia="仿宋_GB2312"/>
                <w:sz w:val="21"/>
              </w:rPr>
              <w:t>1.1 制定详细的紧急预案，包括火灾、地震等自然灾害的应对措施及人员疏散方案。</w:t>
            </w:r>
          </w:p>
          <w:p>
            <w:pPr>
              <w:pStyle w:val="null3"/>
              <w:ind w:firstLine="560"/>
            </w:pPr>
            <w:r>
              <w:rPr>
                <w:rFonts w:ascii="仿宋_GB2312" w:hAnsi="仿宋_GB2312" w:cs="仿宋_GB2312" w:eastAsia="仿宋_GB2312"/>
                <w:sz w:val="21"/>
              </w:rPr>
              <w:t>1.2 配置必要的消防器材、急救包等安全设施，确保展会期间的安全稳定。</w:t>
            </w:r>
          </w:p>
          <w:p>
            <w:pPr>
              <w:pStyle w:val="null3"/>
              <w:ind w:firstLine="560"/>
            </w:pPr>
            <w:r>
              <w:rPr>
                <w:rFonts w:ascii="仿宋_GB2312" w:hAnsi="仿宋_GB2312" w:cs="仿宋_GB2312" w:eastAsia="仿宋_GB2312"/>
                <w:sz w:val="21"/>
              </w:rPr>
              <w:t>2、现场服务与技术支持：</w:t>
            </w:r>
          </w:p>
          <w:p>
            <w:pPr>
              <w:pStyle w:val="null3"/>
              <w:ind w:firstLine="560"/>
            </w:pPr>
            <w:r>
              <w:rPr>
                <w:rFonts w:ascii="仿宋_GB2312" w:hAnsi="仿宋_GB2312" w:cs="仿宋_GB2312" w:eastAsia="仿宋_GB2312"/>
                <w:sz w:val="21"/>
              </w:rPr>
              <w:t>2.1 设立现场服务台或技术支持团队，及时解决参展商及观众在展位搭建、展览展示过程中遇到的问题。</w:t>
            </w:r>
          </w:p>
          <w:p>
            <w:pPr>
              <w:pStyle w:val="null3"/>
              <w:ind w:firstLine="560"/>
            </w:pPr>
            <w:r>
              <w:rPr>
                <w:rFonts w:ascii="仿宋_GB2312" w:hAnsi="仿宋_GB2312" w:cs="仿宋_GB2312" w:eastAsia="仿宋_GB2312"/>
                <w:sz w:val="21"/>
              </w:rPr>
              <w:t>2.2 提供24小时客服热线或在线技术支持服务，确保问题能够得到及时响应与处理。</w:t>
            </w:r>
          </w:p>
          <w:p>
            <w:pPr>
              <w:pStyle w:val="null3"/>
              <w:ind w:firstLine="562"/>
            </w:pPr>
            <w:r>
              <w:rPr>
                <w:rFonts w:ascii="仿宋_GB2312" w:hAnsi="仿宋_GB2312" w:cs="仿宋_GB2312" w:eastAsia="仿宋_GB2312"/>
                <w:sz w:val="21"/>
                <w:b/>
              </w:rPr>
              <w:t>四、服务要求（如对人员配置、专业设备、服务标准等）</w:t>
            </w:r>
          </w:p>
          <w:p>
            <w:pPr>
              <w:pStyle w:val="null3"/>
              <w:ind w:firstLine="560"/>
            </w:pPr>
            <w:r>
              <w:rPr>
                <w:rFonts w:ascii="仿宋_GB2312" w:hAnsi="仿宋_GB2312" w:cs="仿宋_GB2312" w:eastAsia="仿宋_GB2312"/>
                <w:sz w:val="21"/>
              </w:rPr>
              <w:t>（一）人员配置</w:t>
            </w:r>
          </w:p>
          <w:p>
            <w:pPr>
              <w:pStyle w:val="null3"/>
              <w:ind w:firstLine="560"/>
            </w:pPr>
            <w:r>
              <w:rPr>
                <w:rFonts w:ascii="仿宋_GB2312" w:hAnsi="仿宋_GB2312" w:cs="仿宋_GB2312" w:eastAsia="仿宋_GB2312"/>
                <w:sz w:val="21"/>
              </w:rPr>
              <w:t>1、项目经理：需具备丰富的展会项目管理经验，负责整体项目策划、协调、监督及执行，确保项目按时按质完成。</w:t>
            </w:r>
          </w:p>
          <w:p>
            <w:pPr>
              <w:pStyle w:val="null3"/>
              <w:ind w:firstLine="560"/>
            </w:pPr>
            <w:r>
              <w:rPr>
                <w:rFonts w:ascii="仿宋_GB2312" w:hAnsi="仿宋_GB2312" w:cs="仿宋_GB2312" w:eastAsia="仿宋_GB2312"/>
                <w:sz w:val="21"/>
              </w:rPr>
              <w:t>2、设计团队：配备专业设计师，根据展会主题及参展商需求，提供个性化展位设计方案，包括平面设计、3D效果图及施工图等。</w:t>
            </w:r>
          </w:p>
          <w:p>
            <w:pPr>
              <w:pStyle w:val="null3"/>
              <w:ind w:firstLine="560"/>
            </w:pPr>
            <w:r>
              <w:rPr>
                <w:rFonts w:ascii="仿宋_GB2312" w:hAnsi="仿宋_GB2312" w:cs="仿宋_GB2312" w:eastAsia="仿宋_GB2312"/>
                <w:sz w:val="21"/>
              </w:rPr>
              <w:t>3、施工团队：组建专业的施工队伍，确保展位搭建安全、高效、美观。施工人员需持有相关操作证书，熟悉各类搭建材料的使用及安全规范。</w:t>
            </w:r>
          </w:p>
          <w:p>
            <w:pPr>
              <w:pStyle w:val="null3"/>
              <w:ind w:firstLine="560"/>
            </w:pPr>
            <w:r>
              <w:rPr>
                <w:rFonts w:ascii="仿宋_GB2312" w:hAnsi="仿宋_GB2312" w:cs="仿宋_GB2312" w:eastAsia="仿宋_GB2312"/>
                <w:sz w:val="21"/>
              </w:rPr>
              <w:t>（二）专业设备</w:t>
            </w:r>
          </w:p>
          <w:p>
            <w:pPr>
              <w:pStyle w:val="null3"/>
              <w:ind w:firstLine="560"/>
            </w:pPr>
            <w:r>
              <w:rPr>
                <w:rFonts w:ascii="仿宋_GB2312" w:hAnsi="仿宋_GB2312" w:cs="仿宋_GB2312" w:eastAsia="仿宋_GB2312"/>
                <w:sz w:val="21"/>
              </w:rPr>
              <w:t>1、搭建材料：使用符合国家标准的环保、安全搭建材料，包括但不限于铝合金型材、展板、灯具、地毯等。</w:t>
            </w:r>
          </w:p>
          <w:p>
            <w:pPr>
              <w:pStyle w:val="null3"/>
              <w:ind w:firstLine="560"/>
            </w:pPr>
            <w:r>
              <w:rPr>
                <w:rFonts w:ascii="仿宋_GB2312" w:hAnsi="仿宋_GB2312" w:cs="仿宋_GB2312" w:eastAsia="仿宋_GB2312"/>
                <w:sz w:val="21"/>
              </w:rPr>
              <w:t>2、施工工具：配备齐全的施工工具和设备，如电钻、电锯、测量工具、搬运设备等，确保施工顺利进行。</w:t>
            </w:r>
          </w:p>
          <w:p>
            <w:pPr>
              <w:pStyle w:val="null3"/>
              <w:ind w:firstLine="560"/>
            </w:pPr>
            <w:r>
              <w:rPr>
                <w:rFonts w:ascii="仿宋_GB2312" w:hAnsi="仿宋_GB2312" w:cs="仿宋_GB2312" w:eastAsia="仿宋_GB2312"/>
                <w:sz w:val="21"/>
              </w:rPr>
              <w:t>3、展示设备：根据参展商需求，提供LED显示屏、触摸屏、音响系统等多媒体展示设备，提升展位吸引力。</w:t>
            </w:r>
          </w:p>
          <w:p>
            <w:pPr>
              <w:pStyle w:val="null3"/>
              <w:ind w:firstLine="560"/>
            </w:pPr>
            <w:r>
              <w:rPr>
                <w:rFonts w:ascii="仿宋_GB2312" w:hAnsi="仿宋_GB2312" w:cs="仿宋_GB2312" w:eastAsia="仿宋_GB2312"/>
                <w:sz w:val="21"/>
              </w:rPr>
              <w:t>4、安全设备：设置必要的安全警示标识、消防器材等，确保展会期间的安全。</w:t>
            </w:r>
          </w:p>
          <w:p>
            <w:pPr>
              <w:pStyle w:val="null3"/>
              <w:ind w:firstLine="560"/>
            </w:pPr>
            <w:r>
              <w:rPr>
                <w:rFonts w:ascii="仿宋_GB2312" w:hAnsi="仿宋_GB2312" w:cs="仿宋_GB2312" w:eastAsia="仿宋_GB2312"/>
                <w:sz w:val="21"/>
              </w:rPr>
              <w:t>（三）服务标准</w:t>
            </w:r>
          </w:p>
          <w:p>
            <w:pPr>
              <w:pStyle w:val="null3"/>
              <w:ind w:firstLine="560"/>
            </w:pPr>
            <w:r>
              <w:rPr>
                <w:rFonts w:ascii="仿宋_GB2312" w:hAnsi="仿宋_GB2312" w:cs="仿宋_GB2312" w:eastAsia="仿宋_GB2312"/>
                <w:sz w:val="21"/>
              </w:rPr>
              <w:t>1、设计标准：设计方案需符合展会整体风格，同时体现参展商特色，创意新颖，视觉效果突出。</w:t>
            </w:r>
          </w:p>
          <w:p>
            <w:pPr>
              <w:pStyle w:val="null3"/>
              <w:ind w:firstLine="560"/>
            </w:pPr>
            <w:r>
              <w:rPr>
                <w:rFonts w:ascii="仿宋_GB2312" w:hAnsi="仿宋_GB2312" w:cs="仿宋_GB2312" w:eastAsia="仿宋_GB2312"/>
                <w:sz w:val="21"/>
              </w:rPr>
              <w:t>2、搭建标准：严格按照设计方案及施工图纸进行搭建，确保展位结构稳固、布局合理、美观大方。施工过程中需遵守安全规范，确保人员及设备安全。</w:t>
            </w:r>
          </w:p>
          <w:p>
            <w:pPr>
              <w:pStyle w:val="null3"/>
              <w:ind w:firstLine="560"/>
            </w:pPr>
            <w:r>
              <w:rPr>
                <w:rFonts w:ascii="仿宋_GB2312" w:hAnsi="仿宋_GB2312" w:cs="仿宋_GB2312" w:eastAsia="仿宋_GB2312"/>
                <w:sz w:val="21"/>
              </w:rPr>
              <w:t>3、服务响应：展会期间，客服团队需保持通讯畅通，对参展商及观众的咨询及需求做出及时响应。对于展位出现的任何问题，需在最短时间内给予解决。</w:t>
            </w:r>
          </w:p>
          <w:p>
            <w:pPr>
              <w:pStyle w:val="null3"/>
              <w:ind w:firstLine="560"/>
            </w:pPr>
            <w:r>
              <w:rPr>
                <w:rFonts w:ascii="仿宋_GB2312" w:hAnsi="仿宋_GB2312" w:cs="仿宋_GB2312" w:eastAsia="仿宋_GB2312"/>
                <w:sz w:val="21"/>
              </w:rPr>
              <w:t>4、后期维护：展会结束后，负责展位的拆除及现场清理工作，确保展馆恢复原状。同时，对参展商反馈进行收集整理，为下次合作提供参考。</w:t>
            </w:r>
          </w:p>
          <w:p>
            <w:pPr>
              <w:pStyle w:val="null3"/>
              <w:ind w:firstLine="560"/>
            </w:pPr>
            <w:r>
              <w:rPr>
                <w:rFonts w:ascii="仿宋_GB2312" w:hAnsi="仿宋_GB2312" w:cs="仿宋_GB2312" w:eastAsia="仿宋_GB2312"/>
                <w:sz w:val="21"/>
              </w:rPr>
              <w:t>（四）其他要求</w:t>
            </w:r>
          </w:p>
          <w:p>
            <w:pPr>
              <w:pStyle w:val="null3"/>
              <w:ind w:firstLine="560"/>
            </w:pPr>
            <w:r>
              <w:rPr>
                <w:rFonts w:ascii="仿宋_GB2312" w:hAnsi="仿宋_GB2312" w:cs="仿宋_GB2312" w:eastAsia="仿宋_GB2312"/>
                <w:sz w:val="21"/>
              </w:rPr>
              <w:t>1、提供过往类似项目案例及客户评价，以证明服务能力及水平。</w:t>
            </w:r>
          </w:p>
          <w:p>
            <w:pPr>
              <w:pStyle w:val="null3"/>
              <w:ind w:firstLine="560"/>
            </w:pPr>
            <w:r>
              <w:rPr>
                <w:rFonts w:ascii="仿宋_GB2312" w:hAnsi="仿宋_GB2312" w:cs="仿宋_GB2312" w:eastAsia="仿宋_GB2312"/>
                <w:sz w:val="21"/>
              </w:rPr>
              <w:t>2、投标文件需详细列明服务方案、人员配置、设备清单、报价明细等内容。</w:t>
            </w:r>
          </w:p>
          <w:p>
            <w:pPr>
              <w:pStyle w:val="null3"/>
              <w:ind w:firstLine="560"/>
            </w:pPr>
            <w:r>
              <w:rPr>
                <w:rFonts w:ascii="仿宋_GB2312" w:hAnsi="仿宋_GB2312" w:cs="仿宋_GB2312" w:eastAsia="仿宋_GB2312"/>
                <w:sz w:val="21"/>
              </w:rPr>
              <w:t>3、中标单位需与招标方签订正式合同，明确双方权利义务及违约责任</w:t>
            </w:r>
          </w:p>
          <w:p>
            <w:pPr>
              <w:pStyle w:val="null3"/>
              <w:ind w:firstLine="562"/>
            </w:pPr>
            <w:r>
              <w:rPr>
                <w:rFonts w:ascii="仿宋_GB2312" w:hAnsi="仿宋_GB2312" w:cs="仿宋_GB2312" w:eastAsia="仿宋_GB2312"/>
                <w:sz w:val="21"/>
                <w:b/>
              </w:rPr>
              <w:t>五、商务要求（如服务期限、款项结算等）</w:t>
            </w:r>
          </w:p>
          <w:p>
            <w:pPr>
              <w:pStyle w:val="null3"/>
              <w:ind w:firstLine="560"/>
            </w:pPr>
            <w:r>
              <w:rPr>
                <w:rFonts w:ascii="仿宋_GB2312" w:hAnsi="仿宋_GB2312" w:cs="仿宋_GB2312" w:eastAsia="仿宋_GB2312"/>
                <w:sz w:val="21"/>
              </w:rPr>
              <w:t>（一）服务期限</w:t>
            </w:r>
          </w:p>
          <w:p>
            <w:pPr>
              <w:pStyle w:val="null3"/>
              <w:ind w:firstLine="560"/>
            </w:pPr>
            <w:r>
              <w:rPr>
                <w:rFonts w:ascii="仿宋_GB2312" w:hAnsi="仿宋_GB2312" w:cs="仿宋_GB2312" w:eastAsia="仿宋_GB2312"/>
                <w:sz w:val="21"/>
              </w:rPr>
              <w:t>自合同签订之日起至全部合同义务履行完毕。</w:t>
            </w:r>
          </w:p>
          <w:p>
            <w:pPr>
              <w:pStyle w:val="null3"/>
              <w:ind w:firstLine="560"/>
            </w:pPr>
            <w:r>
              <w:rPr>
                <w:rFonts w:ascii="仿宋_GB2312" w:hAnsi="仿宋_GB2312" w:cs="仿宋_GB2312" w:eastAsia="仿宋_GB2312"/>
                <w:sz w:val="21"/>
              </w:rPr>
              <w:t>（二）款项结算</w:t>
            </w:r>
          </w:p>
          <w:p>
            <w:pPr>
              <w:pStyle w:val="null3"/>
              <w:ind w:firstLine="560"/>
            </w:pPr>
            <w:r>
              <w:rPr>
                <w:rFonts w:ascii="仿宋_GB2312" w:hAnsi="仿宋_GB2312" w:cs="仿宋_GB2312" w:eastAsia="仿宋_GB2312"/>
                <w:sz w:val="21"/>
              </w:rPr>
              <w:t>1、合同签订后，达到付款条件起 20 日内，支付合同总金额的 70%。</w:t>
            </w:r>
          </w:p>
          <w:p>
            <w:pPr>
              <w:pStyle w:val="null3"/>
              <w:ind w:firstLine="560"/>
            </w:pPr>
            <w:r>
              <w:rPr>
                <w:rFonts w:ascii="仿宋_GB2312" w:hAnsi="仿宋_GB2312" w:cs="仿宋_GB2312" w:eastAsia="仿宋_GB2312"/>
                <w:sz w:val="21"/>
              </w:rPr>
              <w:t>2、项目执行完成，经我局验收合格 ，达到付款条件起 20 日内，支付合同总金额的30%。</w:t>
            </w:r>
          </w:p>
          <w:p>
            <w:pPr>
              <w:pStyle w:val="null3"/>
              <w:ind w:firstLine="560"/>
            </w:pPr>
            <w:r>
              <w:rPr>
                <w:rFonts w:ascii="仿宋_GB2312" w:hAnsi="仿宋_GB2312" w:cs="仿宋_GB2312" w:eastAsia="仿宋_GB2312"/>
                <w:sz w:val="21"/>
              </w:rPr>
              <w:t>六、其他（如有要求，请写明）</w:t>
            </w:r>
          </w:p>
          <w:p>
            <w:pPr>
              <w:pStyle w:val="null3"/>
              <w:ind w:firstLine="560"/>
            </w:pPr>
            <w:r>
              <w:rPr>
                <w:rFonts w:ascii="仿宋_GB2312" w:hAnsi="仿宋_GB2312" w:cs="仿宋_GB2312" w:eastAsia="仿宋_GB2312"/>
                <w:sz w:val="21"/>
              </w:rPr>
              <w:t>（一）进度要求</w:t>
            </w:r>
          </w:p>
          <w:p>
            <w:pPr>
              <w:pStyle w:val="null3"/>
              <w:ind w:firstLine="560"/>
            </w:pPr>
            <w:r>
              <w:rPr>
                <w:rFonts w:ascii="仿宋_GB2312" w:hAnsi="仿宋_GB2312" w:cs="仿宋_GB2312" w:eastAsia="仿宋_GB2312"/>
                <w:sz w:val="21"/>
              </w:rPr>
              <w:t>从签订合同之日起</w:t>
            </w:r>
            <w:r>
              <w:rPr>
                <w:rFonts w:ascii="仿宋_GB2312" w:hAnsi="仿宋_GB2312" w:cs="仿宋_GB2312" w:eastAsia="仿宋_GB2312"/>
                <w:sz w:val="21"/>
              </w:rPr>
              <w:t>30 日内项目执行完成，项目执行完成30日内验收完成。</w:t>
            </w:r>
          </w:p>
          <w:p>
            <w:pPr>
              <w:pStyle w:val="null3"/>
              <w:ind w:firstLine="560"/>
            </w:pPr>
            <w:r>
              <w:rPr>
                <w:rFonts w:ascii="仿宋_GB2312" w:hAnsi="仿宋_GB2312" w:cs="仿宋_GB2312" w:eastAsia="仿宋_GB2312"/>
                <w:sz w:val="21"/>
              </w:rPr>
              <w:t>（二）成果交付要求</w:t>
            </w:r>
          </w:p>
          <w:p>
            <w:pPr>
              <w:pStyle w:val="null3"/>
              <w:ind w:firstLine="560"/>
            </w:pPr>
            <w:r>
              <w:rPr>
                <w:rFonts w:ascii="仿宋_GB2312" w:hAnsi="仿宋_GB2312" w:cs="仿宋_GB2312" w:eastAsia="仿宋_GB2312"/>
                <w:sz w:val="21"/>
              </w:rPr>
              <w:t>按合同约定条款，保质保量完成整体活动执行，以图文形式整理成完整验收报告。</w:t>
            </w:r>
          </w:p>
          <w:p>
            <w:pPr>
              <w:pStyle w:val="null3"/>
              <w:ind w:firstLine="560"/>
            </w:pPr>
            <w:r>
              <w:rPr>
                <w:rFonts w:ascii="仿宋_GB2312" w:hAnsi="仿宋_GB2312" w:cs="仿宋_GB2312" w:eastAsia="仿宋_GB2312"/>
                <w:sz w:val="21"/>
              </w:rPr>
              <w:t>（三）质量验收标准或规范</w:t>
            </w:r>
          </w:p>
          <w:p>
            <w:pPr>
              <w:pStyle w:val="null3"/>
              <w:ind w:firstLine="560"/>
            </w:pPr>
            <w:r>
              <w:rPr>
                <w:rFonts w:ascii="仿宋_GB2312" w:hAnsi="仿宋_GB2312" w:cs="仿宋_GB2312" w:eastAsia="仿宋_GB2312"/>
                <w:sz w:val="21"/>
              </w:rPr>
              <w:t>1、服务期满后按照成交供应商所提供的资料及数据进行验收；</w:t>
            </w:r>
          </w:p>
          <w:p>
            <w:pPr>
              <w:pStyle w:val="null3"/>
              <w:ind w:firstLine="560"/>
            </w:pPr>
            <w:r>
              <w:rPr>
                <w:rFonts w:ascii="仿宋_GB2312" w:hAnsi="仿宋_GB2312" w:cs="仿宋_GB2312" w:eastAsia="仿宋_GB2312"/>
                <w:sz w:val="21"/>
              </w:rPr>
              <w:t>2、最终验收：自合同签订之日起至完成全部项目内容，需按照采购人确定的时间完成交付并验收合格，验收合格后，填写验收单。</w:t>
            </w:r>
          </w:p>
          <w:p>
            <w:pPr>
              <w:pStyle w:val="null3"/>
              <w:ind w:firstLine="560"/>
            </w:pPr>
            <w:r>
              <w:rPr>
                <w:rFonts w:ascii="仿宋_GB2312" w:hAnsi="仿宋_GB2312" w:cs="仿宋_GB2312" w:eastAsia="仿宋_GB2312"/>
                <w:sz w:val="21"/>
              </w:rPr>
              <w:t>（四）违约责任。一般与合同款项的支付相关，注意不要超出《民法典》中对于违约的责任上限。</w:t>
            </w:r>
          </w:p>
          <w:p>
            <w:pPr>
              <w:pStyle w:val="null3"/>
              <w:ind w:firstLine="560"/>
            </w:pPr>
            <w:r>
              <w:rPr>
                <w:rFonts w:ascii="仿宋_GB2312" w:hAnsi="仿宋_GB2312" w:cs="仿宋_GB2312" w:eastAsia="仿宋_GB2312"/>
                <w:sz w:val="21"/>
              </w:rPr>
              <w:t>1、按《中华人民共和国民法典》中的相关条款执行。</w:t>
            </w:r>
          </w:p>
          <w:p>
            <w:pPr>
              <w:pStyle w:val="null3"/>
              <w:ind w:firstLine="560"/>
            </w:pPr>
            <w:r>
              <w:rPr>
                <w:rFonts w:ascii="仿宋_GB2312" w:hAnsi="仿宋_GB2312" w:cs="仿宋_GB2312" w:eastAsia="仿宋_GB2312"/>
                <w:sz w:val="21"/>
              </w:rPr>
              <w:t>2、乙方未按协议要求提供服务或服务质量不能满足协议要求的，甲方应当将供应商违约的情况以及拟采取的措施以书面形式报政府采购监管部门，根据政府采购监管部门的处理意见，甲方有权依据《中华人民共和国民法典》有关条款及合同约定终止合同，并要求乙方承担违约责任。同时，政府采购监管部门有权依据《中华人民共和国政府采购法》及相关法律法规对乙方的违法行为进行相应的处罚。</w:t>
            </w:r>
          </w:p>
          <w:p>
            <w:pPr>
              <w:pStyle w:val="null3"/>
              <w:ind w:firstLine="560"/>
            </w:pPr>
            <w:r>
              <w:rPr>
                <w:rFonts w:ascii="仿宋_GB2312" w:hAnsi="仿宋_GB2312" w:cs="仿宋_GB2312" w:eastAsia="仿宋_GB2312"/>
                <w:sz w:val="21"/>
              </w:rPr>
              <w:t>3、因为不可抗力因素造成无法按照原计划提供服务，双方互不追究违约责任，供应商如未按照采购要求完成服务内容，除应赔偿采购人所受全部损失以外，还应承担本合同总额20%的违约金。</w:t>
            </w:r>
          </w:p>
          <w:p>
            <w:pPr>
              <w:pStyle w:val="null3"/>
              <w:ind w:firstLine="560"/>
              <w:jc w:val="both"/>
            </w:pPr>
            <w:r>
              <w:rPr>
                <w:rFonts w:ascii="仿宋_GB2312" w:hAnsi="仿宋_GB2312" w:cs="仿宋_GB2312" w:eastAsia="仿宋_GB2312"/>
                <w:sz w:val="21"/>
              </w:rPr>
              <w:t>4、如有异议另行协商。</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自合同签订之日起至全部合同义务履行完毕。</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项目执行完成，经我局验收合格</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提供2024年度的财务审计报告（成立时间至提交投标文件截止时间不足一年的可提供成立后任意时段的资产负债表），或开标时间前六个月内银行出具的资信证明；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提供投标截止日前近一年内任意一个月的纳税证明或完税证明（任意税种），依法免税的单位应提供相关证明材料；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提供近一年已缴存的至少一个月的社会保障资金缴存单据或社保机构开具的社会保险参保缴费情况证明，依法不需要缴纳社会保障资金的单位应提供相关证明材料；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政府采购严重违法失信行为记录名单中被财政部门禁止参加政府采购活动的供应商（采购代理机构查询时限为响应文件递交截止之日）</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参加政府采购活动前三年内，在经营活动中没有重大违法记录的书面声明（成立时间至提交投标文件截止时间不足三年的可提供成立至今的书面声明）；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联合体要求</w:t>
            </w:r>
          </w:p>
        </w:tc>
        <w:tc>
          <w:tcPr>
            <w:tcW w:type="dxa" w:w="3322"/>
          </w:tcPr>
          <w:p>
            <w:pPr>
              <w:pStyle w:val="null3"/>
            </w:pPr>
            <w:r>
              <w:rPr>
                <w:rFonts w:ascii="仿宋_GB2312" w:hAnsi="仿宋_GB2312" w:cs="仿宋_GB2312" w:eastAsia="仿宋_GB2312"/>
              </w:rPr>
              <w:t>以联合体形式进行政府采购的，参加联合体的投标人均应当具备《中华人民共和国政府采购法》第二十二条规定的条件，并提供联合体协议。 其他要求： （1）联合体数量不超过2家。 （2）联合体协议载明需载明联合体各方承担的工作和义务。联合体各方应当共同与采购人签订合同，就合同约定的事项对采购人承担连带责任。（3）联合体中有同类资质的供应商按照联合体分工承担相同工作的，应当按照资质等级较低的供应商确定资质等级。（4）以联合体形式参加政府采购活动的，联合体各方不得再单独参加或者与其他投标人另外组成联合体参加同一合同项下的政府采购活动。</w:t>
            </w:r>
          </w:p>
        </w:tc>
        <w:tc>
          <w:tcPr>
            <w:tcW w:type="dxa" w:w="1661"/>
          </w:tcPr>
          <w:p>
            <w:pPr>
              <w:pStyle w:val="null3"/>
            </w:pPr>
            <w:r>
              <w:rPr>
                <w:rFonts w:ascii="仿宋_GB2312" w:hAnsi="仿宋_GB2312" w:cs="仿宋_GB2312" w:eastAsia="仿宋_GB2312"/>
              </w:rPr>
              <w:t>特定资格证明文件.docx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业绩.docx 服务内容及服务邀请应答表 中小企业声明函 商务应答表 特定资格证明文件.docx 投标人应提交的相关资格证明材料 本项目拟投入人员汇总表.docx 分项报价表.docx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投标文件上法定代表人或负责人或其授权代表人的签字齐全并加盖公章</w:t>
            </w:r>
          </w:p>
        </w:tc>
        <w:tc>
          <w:tcPr>
            <w:tcW w:type="dxa" w:w="1661"/>
          </w:tcPr>
          <w:p>
            <w:pPr>
              <w:pStyle w:val="null3"/>
            </w:pPr>
            <w:r>
              <w:rPr>
                <w:rFonts w:ascii="仿宋_GB2312" w:hAnsi="仿宋_GB2312" w:cs="仿宋_GB2312" w:eastAsia="仿宋_GB2312"/>
              </w:rPr>
              <w:t>开标一览表 业绩.docx 服务内容及服务邀请应答表 中小企业声明函 商务应答表 特定资格证明文件.docx 投标人应提交的相关资格证明材料 本项目拟投入人员汇总表.docx 分项报价表.docx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应符合“投标文件格式”要求</w:t>
            </w:r>
          </w:p>
        </w:tc>
        <w:tc>
          <w:tcPr>
            <w:tcW w:type="dxa" w:w="1661"/>
          </w:tcPr>
          <w:p>
            <w:pPr>
              <w:pStyle w:val="null3"/>
            </w:pPr>
            <w:r>
              <w:rPr>
                <w:rFonts w:ascii="仿宋_GB2312" w:hAnsi="仿宋_GB2312" w:cs="仿宋_GB2312" w:eastAsia="仿宋_GB2312"/>
              </w:rPr>
              <w:t>开标一览表 业绩.docx 服务内容及服务邀请应答表 中小企业声明函 商务应答表 特定资格证明文件.docx 投标人应提交的相关资格证明材料 本项目拟投入人员汇总表.docx 分项报价表.docx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业绩.docx 服务内容及服务邀请应答表 中小企业声明函 商务应答表 特定资格证明文件.docx 投标人应提交的相关资格证明材料 本项目拟投入人员汇总表.docx 分项报价表.docx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开标一览表 业绩.docx 服务内容及服务邀请应答表 中小企业声明函 商务应答表 特定资格证明文件.docx 投标人应提交的相关资格证明材料 本项目拟投入人员汇总表.docx 分项报价表.docx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开标一览表 业绩.docx 服务内容及服务邀请应答表 中小企业声明函 商务应答表 特定资格证明文件.docx 投标人应提交的相关资格证明材料 本项目拟投入人员汇总表.docx 分项报价表.docx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应满足招标文件中要求的服务期</w:t>
            </w:r>
          </w:p>
        </w:tc>
        <w:tc>
          <w:tcPr>
            <w:tcW w:type="dxa" w:w="1661"/>
          </w:tcPr>
          <w:p>
            <w:pPr>
              <w:pStyle w:val="null3"/>
            </w:pPr>
            <w:r>
              <w:rPr>
                <w:rFonts w:ascii="仿宋_GB2312" w:hAnsi="仿宋_GB2312" w:cs="仿宋_GB2312" w:eastAsia="仿宋_GB2312"/>
              </w:rPr>
              <w:t>开标一览表 业绩.docx 服务内容及服务邀请应答表 中小企业声明函 商务应答表 特定资格证明文件.docx 投标人应提交的相关资格证明材料 本项目拟投入人员汇总表.docx 分项报价表.docx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应满足招标文件中要求的服务地点</w:t>
            </w:r>
          </w:p>
        </w:tc>
        <w:tc>
          <w:tcPr>
            <w:tcW w:type="dxa" w:w="1661"/>
          </w:tcPr>
          <w:p>
            <w:pPr>
              <w:pStyle w:val="null3"/>
            </w:pPr>
            <w:r>
              <w:rPr>
                <w:rFonts w:ascii="仿宋_GB2312" w:hAnsi="仿宋_GB2312" w:cs="仿宋_GB2312" w:eastAsia="仿宋_GB2312"/>
              </w:rPr>
              <w:t>开标一览表 业绩.docx 服务内容及服务邀请应答表 中小企业声明函 商务应答表 特定资格证明文件.docx 投标人应提交的相关资格证明材料 本项目拟投入人员汇总表.docx 分项报价表.docx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开标一览表 业绩.docx 服务内容及服务邀请应答表 中小企业声明函 商务应答表 特定资格证明文件.docx 投标人应提交的相关资格证明材料 本项目拟投入人员汇总表.docx 分项报价表.docx 投标函 残疾人福利性单位声明函 服务方案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需求响应</w:t>
            </w:r>
          </w:p>
        </w:tc>
        <w:tc>
          <w:tcPr>
            <w:tcW w:type="dxa" w:w="2492"/>
          </w:tcPr>
          <w:p>
            <w:pPr>
              <w:pStyle w:val="null3"/>
            </w:pPr>
            <w:r>
              <w:rPr>
                <w:rFonts w:ascii="仿宋_GB2312" w:hAnsi="仿宋_GB2312" w:cs="仿宋_GB2312" w:eastAsia="仿宋_GB2312"/>
              </w:rPr>
              <w:t>一、评审内容 针对本项目提出适用于本项目的需求响应方案，包括：①项目理解②需求分析③项目重难点分析 二、评审标准 1、完整性：方案必须全面，对评审内容中的各项要求有详细描述； 2、可实施性：切合本项目实际情况，提出步骤清晰、合理的方案； 3、针对性：方案能够紧扣项目实际情况，内容科学合理。 三、赋分标准（满分9分） ①项目理解：每完全满足一个评审标准得 1分，不完全满足一个评分标准得0-0.9分，满分3分； ②需求分析：每完全满足一个评审标准得 1分，不完全满足一个评分标准得0-0.9分，满分3分； ③项目重难点分析：每完全满足一个评审标准得 1分，不完全满足一个评分标准得0-0.9分，满分3分。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针对本项目提出适用于本项目的服务方案，包括：①整体服务方案②项目实施计划③组织实施方案 二、评审标准 1、完整性：方案必须全面，对评审内容中的各项要求有详细描述； 2、可实施性：切合本项目实际情况，提出步骤清晰、合理的方案； 3、针对性：方案能够紧扣项目实际情况，内容科学合理。 三、赋分标准（满分15分） ①整体服务方案：每完全满足一个评审标准得 1.5分，不完全满足一个评分标准得0-1.4分，满分4.5分； ②项目实施计划：每完全满足一个评审标准得 1.5分，不完全满足一个评分标准得0-1.4分，满分4.5分； ③组织实施方案：每完全满足一个评审标准得 2分，不完全满足一个评分标准得0-1.9分，满分6分。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相关管理措施</w:t>
            </w:r>
          </w:p>
        </w:tc>
        <w:tc>
          <w:tcPr>
            <w:tcW w:type="dxa" w:w="2492"/>
          </w:tcPr>
          <w:p>
            <w:pPr>
              <w:pStyle w:val="null3"/>
            </w:pPr>
            <w:r>
              <w:rPr>
                <w:rFonts w:ascii="仿宋_GB2312" w:hAnsi="仿宋_GB2312" w:cs="仿宋_GB2312" w:eastAsia="仿宋_GB2312"/>
              </w:rPr>
              <w:t>一、评审内容 针对采购需求提出适用于本项目的措施方案，方案包括：①质量保证措施②进度控制措施③安全保障措施 二、评审标准 1、完整性：方案必须全面，对评审内容中的各项要求有详细描述； 2、可实施性：切合本项目实际情况，提出步骤清晰、合理的方案； 3、针对性：方案能够紧扣项目实际情况，内容科学合理。 三、赋分标准（满分15分） ①质量保证措施：每完全满足一个评审标准得 1.5分，不完全满足一个评分标准得0-1.4分，满分4.5分； ②进度控制措施：每完全满足一个评审标准得 1.5分，不完全满足一个评分标准得0-1.4分，满分4.5分； ③安全管理措施：每完全满足一个评审标准得 2分，不完全满足一个评分标准得0-1.9分，满分6分。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会务服务方案</w:t>
            </w:r>
          </w:p>
        </w:tc>
        <w:tc>
          <w:tcPr>
            <w:tcW w:type="dxa" w:w="2492"/>
          </w:tcPr>
          <w:p>
            <w:pPr>
              <w:pStyle w:val="null3"/>
            </w:pPr>
            <w:r>
              <w:rPr>
                <w:rFonts w:ascii="仿宋_GB2312" w:hAnsi="仿宋_GB2312" w:cs="仿宋_GB2312" w:eastAsia="仿宋_GB2312"/>
              </w:rPr>
              <w:t>一、评审内容 针对本项目提出适用于本项目的会务服务方案，方案包括：①会务整体策划方案②会务现场布置方案③会务实施安排方案 二、评审标准 1、完整性：方案必须全面，对评审内容中的各项要求有详细描述； 2、可实施性：切合本项目实际情况，提出步骤清晰、合理的方案； 3、针对性：方案能够紧扣项目实际情况，内容科学合理。 三、赋分标准（满分12分） ①会务整体策划方案：每完全满足一个评审标准得2分，不完全满足一个评分标准得0-1.9分，满分6分；②会务现场布置方案：每完全满足一个评审标准得 1分，不完全满足一个评分标准得0-0.9分，满分3分；③会务实施安排方案：每完全满足一个评审标准得 1分，不完全满足一个评分标准得0-0.9分，满分3分。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项目实施管理方案</w:t>
            </w:r>
          </w:p>
        </w:tc>
        <w:tc>
          <w:tcPr>
            <w:tcW w:type="dxa" w:w="2492"/>
          </w:tcPr>
          <w:p>
            <w:pPr>
              <w:pStyle w:val="null3"/>
            </w:pPr>
            <w:r>
              <w:rPr>
                <w:rFonts w:ascii="仿宋_GB2312" w:hAnsi="仿宋_GB2312" w:cs="仿宋_GB2312" w:eastAsia="仿宋_GB2312"/>
              </w:rPr>
              <w:t>一、评审内容 针对本项目提出适用于本项目的实施管理方案，方案包括：①拟投入的设备、物料②人员组织管理方案③资料总结 二、评审标准 1、完整性：方案必须全面，对评审内容中的各项要求有详细描述； 2、可实施性：切合本项目实际情况，提出步骤清晰、合理的方案； 3、针对性：方案能够紧扣项目实际情况，内容科学合理。 三、赋分标准（满分9分） ①拟投入的设备、物料：每完全满足一个评审标准得 1分，不完全满足一个评分标准得0-0.9分，满分3分； ②人员组织管理方案：每完全满足一个评审标准得 1分，不完全满足一个评分标准得0-0.9分，满分3分；③资料总结：每完全满足一个评审标准得 1分，不完全满足一个评分标准得0-0.9分，满分3分。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服务承诺及应急管理</w:t>
            </w:r>
          </w:p>
        </w:tc>
        <w:tc>
          <w:tcPr>
            <w:tcW w:type="dxa" w:w="2492"/>
          </w:tcPr>
          <w:p>
            <w:pPr>
              <w:pStyle w:val="null3"/>
            </w:pPr>
            <w:r>
              <w:rPr>
                <w:rFonts w:ascii="仿宋_GB2312" w:hAnsi="仿宋_GB2312" w:cs="仿宋_GB2312" w:eastAsia="仿宋_GB2312"/>
              </w:rPr>
              <w:t>一、评审内容 针对本项目提出适用于本项目的服务方案，方案包括：①服务承诺②应急预案③应急保障措施 二、评审标准 1、完整性：方案必须全面，对评审内容中的各项要求有详细描述； 2、可实施性：切合本项目实际情况，提出步骤清晰、合理的方案； 3、针对性：方案能够紧扣项目实际情况，内容科学合理。 三、赋分标准（满分9分） ①服务承诺：每完全满足一个评审标准得 1分，不完全满足一个评分标准得0-0.9分，满分3分； ②应急预案：每完全满足一个评审标准得 1分，不完全满足一个评分标准得0-0.9分，满分3分； ③应急保障措施：每完全满足一个评审标准得 1分，不完全满足一个评分标准得0-0.9分，满分3分。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对本项目服务工作中的常见问题进行梳理，具有良好的解决方案并及时向采购人提出合理化建议，每提供一条有效的建议得1分，满分2分。不提供不得分。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一、评审内容 针对本项目提出适用于本项目的项目团队配置方案，包括：①团队人员各专业岗位配置②团队人员管理制度 二、评审标准 1、完整性：方案必须全面，对评审内容中的各项要求有详细描述； 2、可实施性：切合本项目实际情况，提出步骤清晰、合理的方案； 3、针对性：方案能够紧扣项目实际情况，内容科学合理。 三、赋分标准（满分9分） ①团队人员各专业岗位配置：每完全满足一个评审标准得1.5分，未完全满足一个评审标准得 0-1.4 分，满分4.5分； ②团队人员管理制度：每完全满足一个评审标准得1.5分，未完全满足一个评审标准得 0-1.4 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本项目拟投入人员汇总表.docx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须提供自2022年1月1日至今类似项目业绩，以供应商提供的合同或中标（成交）通知书复印件（或扫描件）为准（日期以合同签订时间或中标（成交）通知书时间为准），每提供一份得2分，满分10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 2、满足招标文件实质性要求且最终报价最低的投标人的价格为投标基准价，其价格分为满分10分。 3、投标报价得分=（投标基准价/最终投标报价）×10。 4、投标报价不完整的，不进入投标基准价的计算，本项得0分。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联合协议或者分包意向协议约定小型、微型企业的合同份额占到合同总金额30%以上</w:t>
            </w:r>
          </w:p>
        </w:tc>
        <w:tc>
          <w:tcPr>
            <w:tcW w:type="dxa" w:w="831"/>
          </w:tcPr>
          <w:p>
            <w:pPr>
              <w:pStyle w:val="null3"/>
              <w:jc w:val="right"/>
            </w:pPr>
            <w:r>
              <w:rPr>
                <w:rFonts w:ascii="仿宋_GB2312" w:hAnsi="仿宋_GB2312" w:cs="仿宋_GB2312" w:eastAsia="仿宋_GB2312"/>
              </w:rPr>
              <w:t>4.00%</w:t>
            </w:r>
          </w:p>
        </w:tc>
        <w:tc>
          <w:tcPr>
            <w:tcW w:type="dxa" w:w="1661"/>
          </w:tcPr>
          <w:p>
            <w:pPr>
              <w:pStyle w:val="null3"/>
            </w:pPr>
            <w:r>
              <w:rPr>
                <w:rFonts w:ascii="仿宋_GB2312" w:hAnsi="仿宋_GB2312" w:cs="仿宋_GB2312" w:eastAsia="仿宋_GB2312"/>
              </w:rPr>
              <w:t>1、接受大中型企业与小微企业组成联合体的采购项目，对联合协议约定小微企业的合同份额占到合同总金额30%以上的，对联合体的报价给予C1的扣除，用扣除后的价格参加评审。2、允许大中型企业向一家或者多家小微企业分包的采购项目，对于分包意向协议约定小微企业的合同份额占到合同总金额30%以上的，对大中型企业的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2</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详见附件：特定资格证明文件.docx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详见附件：本项目拟投入人员汇总表.docx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