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版本号：HJCS2501-13920250930002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皂河科技路至西户铁路段堤顶设施修复加固工程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HJCS2501-139</w:t>
      </w:r>
      <w:r>
        <w:br/>
      </w:r>
      <w:r>
        <w:br/>
      </w:r>
      <w:r>
        <w:br/>
      </w:r>
    </w:p>
    <w:p>
      <w:pPr>
        <w:pStyle w:val="null3"/>
        <w:jc w:val="center"/>
        <w:outlineLvl w:val="2"/>
      </w:pPr>
      <w:r>
        <w:rPr>
          <w:rFonts w:ascii="仿宋_GB2312" w:hAnsi="仿宋_GB2312" w:cs="仿宋_GB2312" w:eastAsia="仿宋_GB2312"/>
          <w:sz w:val="28"/>
          <w:b/>
        </w:rPr>
        <w:t>西安市西北郊城市排洪渠道管理中心</w:t>
      </w:r>
    </w:p>
    <w:p>
      <w:pPr>
        <w:pStyle w:val="null3"/>
        <w:jc w:val="center"/>
        <w:outlineLvl w:val="2"/>
      </w:pPr>
      <w:r>
        <w:rPr>
          <w:rFonts w:ascii="仿宋_GB2312" w:hAnsi="仿宋_GB2312" w:cs="仿宋_GB2312" w:eastAsia="仿宋_GB2312"/>
          <w:sz w:val="28"/>
          <w:b/>
        </w:rPr>
        <w:t>陕西海佳项目管理有限公司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陕西海佳项目管理有限公司</w:t>
      </w:r>
      <w:r>
        <w:rPr>
          <w:rFonts w:ascii="仿宋_GB2312" w:hAnsi="仿宋_GB2312" w:cs="仿宋_GB2312" w:eastAsia="仿宋_GB2312"/>
        </w:rPr>
        <w:t>（以下简称“代理机构”）受</w:t>
      </w:r>
      <w:r>
        <w:rPr>
          <w:rFonts w:ascii="仿宋_GB2312" w:hAnsi="仿宋_GB2312" w:cs="仿宋_GB2312" w:eastAsia="仿宋_GB2312"/>
        </w:rPr>
        <w:t>西安市西北郊城市排洪渠道管理中心</w:t>
      </w:r>
      <w:r>
        <w:rPr>
          <w:rFonts w:ascii="仿宋_GB2312" w:hAnsi="仿宋_GB2312" w:cs="仿宋_GB2312" w:eastAsia="仿宋_GB2312"/>
        </w:rPr>
        <w:t>委托，拟对</w:t>
      </w:r>
      <w:r>
        <w:rPr>
          <w:rFonts w:ascii="仿宋_GB2312" w:hAnsi="仿宋_GB2312" w:cs="仿宋_GB2312" w:eastAsia="仿宋_GB2312"/>
        </w:rPr>
        <w:t>皂河科技路至西户铁路段堤顶设施修复加固工程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HJCS2501-139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皂河科技路至西户铁路段堤顶设施修复加固工程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修复工程范围为皂河科技路至西户铁路，对应皂河综合治理河道中心桩号11+185-13+961。主要建设内容包括:1.修复堤顶路面、安全护栏、绿化补植、增设附属设施;2.增设路口便民照明设施等。要求符合国家、地方、行业相关合格标准及采购人相关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采购包1（皂河科技路至西户铁路段堤顶设施修复加固工程）：属于专门面向中小企业采购。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1、供应商资质要求：供应商资质要求：供应商应具备水利水电施工总承包三级及以上资质；具有合格有效的安全生产许可证，供应商在“陕西省建筑市场监管与诚信信息发布平台”可查询。</w:t>
      </w:r>
    </w:p>
    <w:p>
      <w:pPr>
        <w:pStyle w:val="null3"/>
      </w:pPr>
      <w:r>
        <w:rPr>
          <w:rFonts w:ascii="仿宋_GB2312" w:hAnsi="仿宋_GB2312" w:cs="仿宋_GB2312" w:eastAsia="仿宋_GB2312"/>
        </w:rPr>
        <w:t>2、拟派本工程项目负责人资格要求：拟派本工程项目负责人资格要求：拟派本工程项目负责人具有水利水电工程专业贰级及以上注册建造师资格，具有合格有效的安全生产考核合格证（B证），在本单位注册，且无在建工程（提供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西安市西北郊城市排洪渠道管理中心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西安市未央区北二环西段69号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029-86689956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陕西海佳项目管理有限公司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西安市高新区唐延路35号旺座现代城C座2604室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雷鹏飞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029-88765319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采购包1：2,490,000.00元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1）采购代理服务费依据《关于印发招标代理服务收费管理暂行办法的通知》（计价格【2002】1980号）和《关于招标代理服务收费有关问题的通知》（发改办价格【2003】857号）规定标准下浮5%计算收取。 （2）采购代理服务费缴纳账户： 开户名称：陕西海佳项目管理有限公司,开户银行： 招商银行股份有限公司西安城西支行,账 号：129911759510401。</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西安市西北郊城市排洪渠道管理中心</w:t>
      </w:r>
      <w:r>
        <w:rPr>
          <w:rFonts w:ascii="仿宋_GB2312" w:hAnsi="仿宋_GB2312" w:cs="仿宋_GB2312" w:eastAsia="仿宋_GB2312"/>
        </w:rPr>
        <w:t>和</w:t>
      </w:r>
      <w:r>
        <w:rPr>
          <w:rFonts w:ascii="仿宋_GB2312" w:hAnsi="仿宋_GB2312" w:cs="仿宋_GB2312" w:eastAsia="仿宋_GB2312"/>
        </w:rPr>
        <w:t>陕西海佳项目管理有限公司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西安市西北郊城市排洪渠道管理中心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陕西海佳项目管理有限公司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西安市西北郊城市排洪渠道管理中心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陕西海佳项目管理有限公司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符合《水利水电建设工程验收规程》SL/T223-2025合格标准。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陕西海佳项目管理有限公司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陕西海佳项目管理有限公司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陕西海佳项目管理有限公司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联系人：雷鹏飞</w:t>
      </w:r>
    </w:p>
    <w:p>
      <w:pPr>
        <w:pStyle w:val="null3"/>
      </w:pPr>
      <w:r>
        <w:rPr>
          <w:rFonts w:ascii="仿宋_GB2312" w:hAnsi="仿宋_GB2312" w:cs="仿宋_GB2312" w:eastAsia="仿宋_GB2312"/>
        </w:rPr>
        <w:t>联系电话：029-88765319</w:t>
      </w:r>
    </w:p>
    <w:p>
      <w:pPr>
        <w:pStyle w:val="null3"/>
      </w:pPr>
      <w:r>
        <w:rPr>
          <w:rFonts w:ascii="仿宋_GB2312" w:hAnsi="仿宋_GB2312" w:cs="仿宋_GB2312" w:eastAsia="仿宋_GB2312"/>
        </w:rPr>
        <w:t>地址：西安市唐延路35号旺座现代城C座2604室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2,490,000.00</w:t>
      </w:r>
    </w:p>
    <w:p>
      <w:pPr>
        <w:pStyle w:val="null3"/>
      </w:pPr>
      <w:r>
        <w:rPr>
          <w:rFonts w:ascii="仿宋_GB2312" w:hAnsi="仿宋_GB2312" w:cs="仿宋_GB2312" w:eastAsia="仿宋_GB2312"/>
        </w:rPr>
        <w:t>采购包最高限价（元）: 2,490,000.00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皂河科技路至西户铁路段堤顶设施修复加固工程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2,490,000.00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标的名称：皂河科技路至西户铁路段堤顶设施修复加固工程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2"/>
              <w:jc w:val="both"/>
            </w:pPr>
            <w:r>
              <w:rPr>
                <w:rFonts w:ascii="仿宋_GB2312" w:hAnsi="仿宋_GB2312" w:cs="仿宋_GB2312" w:eastAsia="仿宋_GB2312"/>
                <w:sz w:val="18"/>
                <w:b/>
              </w:rPr>
              <w:t>一、工程建设必要性</w:t>
            </w:r>
          </w:p>
          <w:p>
            <w:pPr>
              <w:pStyle w:val="null3"/>
              <w:ind w:firstLine="420"/>
              <w:jc w:val="both"/>
            </w:pPr>
            <w:r>
              <w:rPr>
                <w:rFonts w:ascii="仿宋_GB2312" w:hAnsi="仿宋_GB2312" w:cs="仿宋_GB2312" w:eastAsia="仿宋_GB2312"/>
                <w:sz w:val="18"/>
              </w:rPr>
              <w:t>皂河红光路至西户铁路段堤顶路面存在破损和沉降;临水侧缺少防护栏杆，绿化隔离带苗木缺失;若不及时进行修复会对河道日常管理和运行安全带来隐患，因此需对该段堤顶路进行修复，科技路至西户铁路段堤顶交叉路口出行群众多，缺乏照明设施。为保证堤防工程安全、河道防汛抢险及管理运行安全，保护沿岸人民群众生命财产，本工程的实施是很有必要的。</w:t>
            </w:r>
          </w:p>
          <w:p>
            <w:pPr>
              <w:pStyle w:val="null3"/>
              <w:ind w:firstLine="422"/>
              <w:jc w:val="both"/>
            </w:pPr>
            <w:r>
              <w:rPr>
                <w:rFonts w:ascii="仿宋_GB2312" w:hAnsi="仿宋_GB2312" w:cs="仿宋_GB2312" w:eastAsia="仿宋_GB2312"/>
                <w:sz w:val="18"/>
                <w:b/>
              </w:rPr>
              <w:t>二、设计标准</w:t>
            </w:r>
          </w:p>
          <w:p>
            <w:pPr>
              <w:pStyle w:val="null3"/>
              <w:ind w:firstLine="420"/>
              <w:jc w:val="both"/>
            </w:pPr>
            <w:r>
              <w:rPr>
                <w:rFonts w:ascii="仿宋_GB2312" w:hAnsi="仿宋_GB2312" w:cs="仿宋_GB2312" w:eastAsia="仿宋_GB2312"/>
                <w:sz w:val="18"/>
              </w:rPr>
              <w:t>根据西安市发展计划委员会文件市计项[2003]514号文“西安市城市排洪工程治理皂河中游段的初步设计批复”，陕西省发展计划委员会文件陕计项目[2003]355号文“关于西安市城市排洪工程皂河下游段初步设计的批复”皂河堤防级别为三级。</w:t>
            </w:r>
          </w:p>
          <w:p>
            <w:pPr>
              <w:pStyle w:val="null3"/>
              <w:ind w:firstLine="420"/>
              <w:jc w:val="both"/>
            </w:pPr>
            <w:r>
              <w:rPr>
                <w:rFonts w:ascii="仿宋_GB2312" w:hAnsi="仿宋_GB2312" w:cs="仿宋_GB2312" w:eastAsia="仿宋_GB2312"/>
                <w:sz w:val="18"/>
              </w:rPr>
              <w:t>本工程堤顶路设计参考《城市道路工程设计规范》(CJJ37-2016)，道路级别为支路，设计车速20km/h，道路宽度大于3.5m。沥青路面使用年限为8年。</w:t>
            </w:r>
          </w:p>
          <w:p>
            <w:pPr>
              <w:pStyle w:val="null3"/>
              <w:ind w:firstLine="420"/>
              <w:jc w:val="both"/>
            </w:pPr>
            <w:r>
              <w:rPr>
                <w:rFonts w:ascii="仿宋_GB2312" w:hAnsi="仿宋_GB2312" w:cs="仿宋_GB2312" w:eastAsia="仿宋_GB2312"/>
                <w:sz w:val="18"/>
              </w:rPr>
              <w:t>本工程路灯设计参考《城市道路照明设计标准》(CJJ45-2015)中表 3.3.1，灯具平均照度为12Ix。</w:t>
            </w:r>
          </w:p>
          <w:p>
            <w:pPr>
              <w:pStyle w:val="null3"/>
              <w:ind w:firstLine="422"/>
              <w:jc w:val="both"/>
            </w:pPr>
            <w:r>
              <w:rPr>
                <w:rFonts w:ascii="仿宋_GB2312" w:hAnsi="仿宋_GB2312" w:cs="仿宋_GB2312" w:eastAsia="仿宋_GB2312"/>
                <w:sz w:val="18"/>
                <w:b/>
              </w:rPr>
              <w:t>三、工程范围及主要内容</w:t>
            </w:r>
          </w:p>
          <w:p>
            <w:pPr>
              <w:pStyle w:val="null3"/>
              <w:ind w:firstLine="420"/>
              <w:jc w:val="both"/>
            </w:pPr>
            <w:r>
              <w:rPr>
                <w:rFonts w:ascii="仿宋_GB2312" w:hAnsi="仿宋_GB2312" w:cs="仿宋_GB2312" w:eastAsia="仿宋_GB2312"/>
                <w:sz w:val="18"/>
              </w:rPr>
              <w:t>本次皂河修复工程范围为皂河科技路至西户铁路，对应皂河综合治理河道中心桩号11+185-13+961。</w:t>
            </w:r>
          </w:p>
          <w:p>
            <w:pPr>
              <w:pStyle w:val="null3"/>
              <w:ind w:firstLine="420"/>
              <w:jc w:val="both"/>
            </w:pPr>
            <w:r>
              <w:rPr>
                <w:rFonts w:ascii="仿宋_GB2312" w:hAnsi="仿宋_GB2312" w:cs="仿宋_GB2312" w:eastAsia="仿宋_GB2312"/>
                <w:sz w:val="18"/>
              </w:rPr>
              <w:t>工程任务:1.修复堤顶路面、安全护栏、绿化补植、增设附属设施;2.增设路口便民照明设施。</w:t>
            </w:r>
          </w:p>
          <w:p>
            <w:pPr>
              <w:pStyle w:val="null3"/>
              <w:ind w:firstLine="420"/>
              <w:jc w:val="both"/>
            </w:pPr>
            <w:r>
              <w:rPr>
                <w:rFonts w:ascii="仿宋_GB2312" w:hAnsi="仿宋_GB2312" w:cs="仿宋_GB2312" w:eastAsia="仿宋_GB2312"/>
                <w:sz w:val="18"/>
              </w:rPr>
              <w:t>工程规模:1.皂河红光路至西户铁路段,河道桩号13+661-13+961,河长0.3km。堤顶道路铺设沥青路面,左右岸总长580m,总面积3274㎡;更换堤顶路缘石;新建安全护栏；新建雨水井5座。绿化补植6218㎡;2.皂河科技路至西户铁路段，河道号11+185-13+961，河长2.8km。堤顶增设路口便民照明设施，间距25m，左右岸共56套</w:t>
            </w:r>
          </w:p>
          <w:p>
            <w:pPr>
              <w:pStyle w:val="null3"/>
              <w:ind w:firstLine="422"/>
              <w:jc w:val="both"/>
            </w:pPr>
            <w:r>
              <w:rPr>
                <w:rFonts w:ascii="仿宋_GB2312" w:hAnsi="仿宋_GB2312" w:cs="仿宋_GB2312" w:eastAsia="仿宋_GB2312"/>
                <w:sz w:val="18"/>
                <w:b/>
              </w:rPr>
              <w:t>四、主要工程量</w:t>
            </w:r>
          </w:p>
          <w:p>
            <w:pPr>
              <w:pStyle w:val="null3"/>
              <w:ind w:firstLine="420"/>
              <w:jc w:val="both"/>
            </w:pPr>
            <w:r>
              <w:rPr>
                <w:rFonts w:ascii="仿宋_GB2312" w:hAnsi="仿宋_GB2312" w:cs="仿宋_GB2312" w:eastAsia="仿宋_GB2312"/>
                <w:sz w:val="18"/>
              </w:rPr>
              <w:t>沥青砼路面3274㎡，混凝土193m³，土方开挖340m³，模板589㎡，钢筋3.07t。详见工程量清单。</w:t>
            </w:r>
          </w:p>
          <w:p>
            <w:pPr>
              <w:pStyle w:val="null3"/>
              <w:ind w:firstLine="241"/>
              <w:jc w:val="both"/>
            </w:pPr>
            <w:r>
              <w:rPr>
                <w:rFonts w:ascii="仿宋_GB2312" w:hAnsi="仿宋_GB2312" w:cs="仿宋_GB2312" w:eastAsia="仿宋_GB2312"/>
                <w:sz w:val="18"/>
                <w:b/>
              </w:rPr>
              <w:t>五、工期及质量要求</w:t>
            </w:r>
          </w:p>
          <w:p>
            <w:pPr>
              <w:pStyle w:val="null3"/>
              <w:ind w:firstLine="420"/>
              <w:jc w:val="both"/>
            </w:pPr>
            <w:r>
              <w:rPr>
                <w:rFonts w:ascii="仿宋_GB2312" w:hAnsi="仿宋_GB2312" w:cs="仿宋_GB2312" w:eastAsia="仿宋_GB2312"/>
                <w:sz w:val="18"/>
              </w:rPr>
              <w:t>1、工期：90日历天。</w:t>
            </w:r>
          </w:p>
          <w:p>
            <w:pPr>
              <w:pStyle w:val="null3"/>
              <w:ind w:firstLine="420"/>
              <w:jc w:val="both"/>
            </w:pPr>
            <w:r>
              <w:rPr>
                <w:rFonts w:ascii="仿宋_GB2312" w:hAnsi="仿宋_GB2312" w:cs="仿宋_GB2312" w:eastAsia="仿宋_GB2312"/>
                <w:sz w:val="18"/>
              </w:rPr>
              <w:t>2、质量要求：符合《水利水电建设工程验收规程》SL/T223-2025合格标准。</w:t>
            </w:r>
          </w:p>
          <w:p>
            <w:pPr>
              <w:pStyle w:val="null3"/>
              <w:ind w:firstLine="241"/>
              <w:jc w:val="both"/>
            </w:pPr>
            <w:r>
              <w:rPr>
                <w:rFonts w:ascii="仿宋_GB2312" w:hAnsi="仿宋_GB2312" w:cs="仿宋_GB2312" w:eastAsia="仿宋_GB2312"/>
                <w:sz w:val="18"/>
                <w:b/>
              </w:rPr>
              <w:t>六、工程量清单（见附件工程量清单）</w:t>
            </w:r>
          </w:p>
          <w:p>
            <w:pPr>
              <w:pStyle w:val="null3"/>
              <w:ind w:firstLine="241"/>
              <w:jc w:val="both"/>
            </w:pPr>
            <w:r>
              <w:rPr>
                <w:rFonts w:ascii="仿宋_GB2312" w:hAnsi="仿宋_GB2312" w:cs="仿宋_GB2312" w:eastAsia="仿宋_GB2312"/>
                <w:sz w:val="18"/>
                <w:b/>
              </w:rPr>
              <w:t>七、付款比例</w:t>
            </w:r>
          </w:p>
          <w:p>
            <w:pPr>
              <w:pStyle w:val="null3"/>
              <w:ind w:firstLine="420"/>
              <w:jc w:val="both"/>
            </w:pPr>
            <w:r>
              <w:rPr>
                <w:rFonts w:ascii="仿宋_GB2312" w:hAnsi="仿宋_GB2312" w:cs="仿宋_GB2312" w:eastAsia="仿宋_GB2312"/>
                <w:sz w:val="18"/>
              </w:rPr>
              <w:t>1、付款比例：</w:t>
            </w:r>
          </w:p>
          <w:p>
            <w:pPr>
              <w:pStyle w:val="null3"/>
              <w:ind w:firstLine="420"/>
              <w:jc w:val="both"/>
            </w:pPr>
            <w:r>
              <w:rPr>
                <w:rFonts w:ascii="仿宋_GB2312" w:hAnsi="仿宋_GB2312" w:cs="仿宋_GB2312" w:eastAsia="仿宋_GB2312"/>
                <w:sz w:val="18"/>
              </w:rPr>
              <w:t>（1）按照工程实施进度结算进行支付，工程完工后，支付至合同金额的85％；</w:t>
            </w:r>
          </w:p>
          <w:p>
            <w:pPr>
              <w:pStyle w:val="null3"/>
              <w:ind w:firstLine="420"/>
              <w:jc w:val="both"/>
            </w:pPr>
            <w:r>
              <w:rPr>
                <w:rFonts w:ascii="仿宋_GB2312" w:hAnsi="仿宋_GB2312" w:cs="仿宋_GB2312" w:eastAsia="仿宋_GB2312"/>
                <w:sz w:val="18"/>
              </w:rPr>
              <w:t>（2）剩余款项待项目竣工验收合格后一次性支付。</w:t>
            </w:r>
          </w:p>
          <w:p>
            <w:pPr>
              <w:pStyle w:val="null3"/>
              <w:ind w:firstLine="420"/>
              <w:jc w:val="both"/>
            </w:pPr>
            <w:r>
              <w:rPr>
                <w:rFonts w:ascii="仿宋_GB2312" w:hAnsi="仿宋_GB2312" w:cs="仿宋_GB2312" w:eastAsia="仿宋_GB2312"/>
                <w:sz w:val="18"/>
              </w:rPr>
              <w:t>2、结算方式：银行转账。</w:t>
            </w:r>
          </w:p>
          <w:p>
            <w:pPr>
              <w:pStyle w:val="null3"/>
              <w:jc w:val="both"/>
            </w:pPr>
            <w:r>
              <w:rPr>
                <w:rFonts w:ascii="仿宋_GB2312" w:hAnsi="仿宋_GB2312" w:cs="仿宋_GB2312" w:eastAsia="仿宋_GB2312"/>
                <w:sz w:val="18"/>
              </w:rPr>
              <w:t xml:space="preserve">   3、结算单位：供应商按工程进度申报结算，经采购人审核同意后，供应商开具支付款项的全额发票交采购人。</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符合《水利水电建设工程验收规程》SL/T223-2025合格标准。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要求符合国家、地方、行业相关合格标准及采购人相关要求。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1.本项目采购标的对应的中小企业划分标准所属行业为建筑业。 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 2.成交供应商在领取成交通知书前，须向采购代理机构提供纸质版响应文件2套，且提供的响应文件必须与在陕西省政府采购综合管理平台的项目电子化交易系统中递交的电子响应文件内容一致，纸质版响应文件必须装订成册签字盖章。3.本项目属于西安市本级项目，根据《西安市财政局关于促进政府采购公平竞争优化营商环境的通知》（市财函〔2021〕431号）文件的要求，采购代理机构向采购人提交评标报告、采购人确定中标人、采购代理机构发布中标公告和采购人或采购代理机构发出中标通知书的期限要求，均在法定期限要求基础上提前1个工作日。4.根据《陕西省财政厅关于持续优化政府采购营商环境有关事项的通知》（陕财办采〔2024〕9 号）文件的通知，采购人在中标（成交）通知书发出之日起 25 日内，按照采购文件确定的事项与中标（成交）供应商签订政府采购合同。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（1）供应商应具有独立承担民事责任的能力，提供供应商的营业执照等证明文件，自然人的身份证明等； （2）税收缴纳证明：提供供应商自磋商前12个月以来已缴纳任意时段完税凭证或税务机关开具的完税证明（任意税种）；依法免税的应提供相关文件证明； （3）社会保障资金缴纳证明：提供供应商自磋商前12个月以来已缴存的任意时段的社会保障资金缴存单据或社保机构开具的社会保险参保缴费情况证明；依法不需要缴纳社会保障资金的供应商应提供相关文件证明； （4）提供供应商具备履行合同所必需的设备和专业技术能力的证明材料； （5）供应商参加本次磋商前3年内，在经营活动中没有重大违法记录的书面声明。（6）采购人、采购代理机构将通过“信用中国”网站（www.creditchina.gov.cn）和中国政府采购网站（www.ccgp.gov.cn）查询投标人信用记录，被列入失信被执行人、重大税收违法失信主体、政府采购严重违法失信行为记录名单的供应商将被拒绝参与本项目磋商，信用信息查询的截止时点以供应商须知前附表的规定时点为准。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需提供2024年度经审计的供应商财务会计报告或者提供响应文件截止时间3个月内其基本账户开户银行出具的资信证明。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供应商资质要求：供应商应具备水利水电施工总承包三级及以上资质；具有合格有效的安全生产许可证，供应商在“陕西省建筑市场监管与诚信信息发布平台”可查询。</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拟派本工程项目负责人资格要求</w:t>
            </w:r>
          </w:p>
        </w:tc>
        <w:tc>
          <w:tcPr>
            <w:tcW w:type="dxa" w:w="3322"/>
          </w:tcPr>
          <w:p>
            <w:pPr>
              <w:pStyle w:val="null3"/>
            </w:pPr>
            <w:r>
              <w:rPr>
                <w:rFonts w:ascii="仿宋_GB2312" w:hAnsi="仿宋_GB2312" w:cs="仿宋_GB2312" w:eastAsia="仿宋_GB2312"/>
              </w:rPr>
              <w:t>拟派本工程项目负责人资格要求：拟派本工程项目负责人具有水利水电工程专业贰级及以上注册建造师资格，具有合格有效的安全生产考核合格证（B证），在本单位注册，且无在建工程（提供承诺书）。</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按照要求签署、盖章</w:t>
            </w:r>
          </w:p>
        </w:tc>
        <w:tc>
          <w:tcPr>
            <w:tcW w:type="dxa" w:w="1661"/>
          </w:tcPr>
          <w:p>
            <w:pPr>
              <w:pStyle w:val="null3"/>
            </w:pPr>
            <w:r>
              <w:rPr>
                <w:rFonts w:ascii="仿宋_GB2312" w:hAnsi="仿宋_GB2312" w:cs="仿宋_GB2312" w:eastAsia="仿宋_GB2312"/>
              </w:rPr>
              <w:t>响应文件封面 报价函 技术服务合同条款及其他商务要求应答表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法定代表人（单位负责人）身份证明或委托授权书</w:t>
            </w:r>
          </w:p>
        </w:tc>
        <w:tc>
          <w:tcPr>
            <w:tcW w:type="dxa" w:w="3322"/>
          </w:tcPr>
          <w:p>
            <w:pPr>
              <w:pStyle w:val="null3"/>
            </w:pPr>
            <w:r>
              <w:rPr>
                <w:rFonts w:ascii="仿宋_GB2312" w:hAnsi="仿宋_GB2312" w:cs="仿宋_GB2312" w:eastAsia="仿宋_GB2312"/>
              </w:rPr>
              <w:t>法定代表人（单位负责人）参加磋商的，提供法定代表人（单位负责人）身份证明；法定代表人（单位负责人）授权他人参加磋商的，提供法定代表人（单位负责人）委托授权书</w:t>
            </w:r>
          </w:p>
        </w:tc>
        <w:tc>
          <w:tcPr>
            <w:tcW w:type="dxa" w:w="1661"/>
          </w:tcPr>
          <w:p>
            <w:pPr>
              <w:pStyle w:val="null3"/>
            </w:pPr>
            <w:r>
              <w:rPr>
                <w:rFonts w:ascii="仿宋_GB2312" w:hAnsi="仿宋_GB2312" w:cs="仿宋_GB2312" w:eastAsia="仿宋_GB2312"/>
              </w:rPr>
              <w:t>法定代表人（单位负责人）身份证明或委托授权书.docx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响应文件格式、语言、计量单位、报价货币</w:t>
            </w:r>
          </w:p>
        </w:tc>
        <w:tc>
          <w:tcPr>
            <w:tcW w:type="dxa" w:w="3322"/>
          </w:tcPr>
          <w:p>
            <w:pPr>
              <w:pStyle w:val="null3"/>
            </w:pPr>
            <w:r>
              <w:rPr>
                <w:rFonts w:ascii="仿宋_GB2312" w:hAnsi="仿宋_GB2312" w:cs="仿宋_GB2312" w:eastAsia="仿宋_GB2312"/>
              </w:rPr>
              <w:t>应符合“响应文件格式”和磋商文件要求</w:t>
            </w:r>
          </w:p>
        </w:tc>
        <w:tc>
          <w:tcPr>
            <w:tcW w:type="dxa" w:w="1661"/>
          </w:tcPr>
          <w:p>
            <w:pPr>
              <w:pStyle w:val="null3"/>
            </w:pPr>
            <w:r>
              <w:rPr>
                <w:rFonts w:ascii="仿宋_GB2312" w:hAnsi="仿宋_GB2312" w:cs="仿宋_GB2312" w:eastAsia="仿宋_GB2312"/>
              </w:rPr>
              <w:t>报价函 技术服务合同条款及其他商务要求应答表 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响应文件内容齐全、无遗漏</w:t>
            </w:r>
          </w:p>
        </w:tc>
        <w:tc>
          <w:tcPr>
            <w:tcW w:type="dxa" w:w="1661"/>
          </w:tcPr>
          <w:p>
            <w:pPr>
              <w:pStyle w:val="null3"/>
            </w:pPr>
            <w:r>
              <w:rPr>
                <w:rFonts w:ascii="仿宋_GB2312" w:hAnsi="仿宋_GB2312" w:cs="仿宋_GB2312" w:eastAsia="仿宋_GB2312"/>
              </w:rPr>
              <w:t>技术服务合同条款及其他商务要求应答表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技术服务合同条款及其他商务要求应答表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应满足磋商文件的要求</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工程质量</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付款条件</w:t>
            </w:r>
          </w:p>
        </w:tc>
        <w:tc>
          <w:tcPr>
            <w:tcW w:type="dxa" w:w="3322"/>
          </w:tcPr>
          <w:p>
            <w:pPr>
              <w:pStyle w:val="null3"/>
            </w:pPr>
            <w:r>
              <w:rPr>
                <w:rFonts w:ascii="仿宋_GB2312" w:hAnsi="仿宋_GB2312" w:cs="仿宋_GB2312" w:eastAsia="仿宋_GB2312"/>
              </w:rPr>
              <w:t>应满足磋商文件的要求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工程量</w:t>
            </w:r>
          </w:p>
        </w:tc>
        <w:tc>
          <w:tcPr>
            <w:tcW w:type="dxa" w:w="3322"/>
          </w:tcPr>
          <w:p>
            <w:pPr>
              <w:pStyle w:val="null3"/>
            </w:pPr>
            <w:r>
              <w:rPr>
                <w:rFonts w:ascii="仿宋_GB2312" w:hAnsi="仿宋_GB2312" w:cs="仿宋_GB2312" w:eastAsia="仿宋_GB2312"/>
              </w:rPr>
              <w:t>应符合磋商文件给出的范围和数量</w:t>
            </w:r>
          </w:p>
        </w:tc>
        <w:tc>
          <w:tcPr>
            <w:tcW w:type="dxa" w:w="1661"/>
          </w:tcPr>
          <w:p>
            <w:pPr>
              <w:pStyle w:val="null3"/>
            </w:pPr>
            <w:r>
              <w:rPr>
                <w:rFonts w:ascii="仿宋_GB2312" w:hAnsi="仿宋_GB2312" w:cs="仿宋_GB2312" w:eastAsia="仿宋_GB2312"/>
              </w:rPr>
              <w:t>已标价工程量清单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施工组织和项目管理机构</w:t>
            </w:r>
          </w:p>
        </w:tc>
        <w:tc>
          <w:tcPr>
            <w:tcW w:type="dxa" w:w="2492"/>
          </w:tcPr>
          <w:p>
            <w:pPr>
              <w:pStyle w:val="null3"/>
            </w:pPr>
            <w:r>
              <w:rPr>
                <w:rFonts w:ascii="仿宋_GB2312" w:hAnsi="仿宋_GB2312" w:cs="仿宋_GB2312" w:eastAsia="仿宋_GB2312"/>
              </w:rPr>
              <w:t>一、评审内容 针对本项目内容提出适用于本项目的施工组织和项目管理机构，方案包括：①施工组织方案；②项目管理机构组织方案。 二、评审标准 1、完整性：方案必须全面，对评审内容中的各项要求有详细描述； 2、针对性：方案能够紧扣项目实际情况，内容科学合理； 3、可实施性：切合本项目实际情况，提出步骤清晰、合理的方案。 三、赋分标准（满分6分） ①施工组织方案：每完全满足一个评审标准得1分；针对评审标准存在有不合理处的得0.5分；内容与本项目无关或未提供的得0分。 ②项目管理机构组织方案:每完全满足一个评审标准得1分；针对评审标准存在有不合理处的得0.5分；内容与本项目无关或未提供的得0分。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技术文件.docx</w:t>
            </w:r>
          </w:p>
          <w:p>
            <w:pPr>
              <w:pStyle w:val="null3"/>
            </w:pPr>
            <w:r>
              <w:rPr>
                <w:rFonts w:ascii="仿宋_GB2312" w:hAnsi="仿宋_GB2312" w:cs="仿宋_GB2312" w:eastAsia="仿宋_GB2312"/>
              </w:rPr>
              <w:t>项目管理机构组成表</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针对本项目内容提出适用于本项目的施工方案，方案包括：①针对修复堤顶路面、安全护栏、绿化补植、增设附属设施、增设路口便民照明设施，有具体的实施方案；②施工场地管理方案；③场地人员管理方案。 二、评审标准 1、完整性：方案必须全面，对评审内容中的各项要求有详细描述； 2、针对性：方案能够紧扣项目实际情况，内容科学合理； 3、可实施性：切合本项目实际情况，提出步骤清晰、合理的方案。 三、赋分标准（满分9分） ①针对修复堤顶路面、安全护栏、绿化补植、增设附属设施、增设路口便民照明设施，有具体的实施方案：每完全满足一个评审标准得1分；针对评审标准存在有不合理处的得0.5分；内容与本项目无关或未提供的得0分。 ②施工场地管理方案：每完全满足一个评审标准得1分；针对评审标准存在有不合理处的得0.5分；内容与本项目无关或未提供的得0分。 ③场地人员管理方案：每完全满足一个评审标准得1分；针对评审标准存在有不合理处的得0.5分；内容与本项目无关或未提供的得0分。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技术文件.docx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一、评审内容 针对本项目内容提出适用于本项目的投入施工机械配备和材料投入计划，包括①施工机械配备方案；②材料投入计划。 二、评审标准 1、完整性：方案必须全面，对评审内容中的各项要求有详细描述； 2、针对性：方案能够紧扣项目实际情况，内容科学合理； 3、可实施性：切合本项目实际情况，提出步骤清晰、合理的方案。 三、赋分标准（满分6分） ①施工机械配备方案：每完全满足一个评审标准得1分；针对评审标准存在有不合理处的得0.5分；内容与本项目无关或未提供的得0分。 ②材料投入计划：每完全满足一个评审标准得1分；针对评审标准存在有不合理处的得0.5分；内容与本项目无关或未提供的得0分。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技术文件.docx</w:t>
            </w:r>
          </w:p>
        </w:tc>
      </w:tr>
      <w:tr>
        <w:tc>
          <w:tcPr>
            <w:tcW w:type="dxa" w:w="831"/>
            <w:vMerge/>
          </w:tcPr>
          <w:p/>
        </w:tc>
        <w:tc>
          <w:tcPr>
            <w:tcW w:type="dxa" w:w="1661"/>
          </w:tcPr>
          <w:p>
            <w:pPr>
              <w:pStyle w:val="null3"/>
            </w:pPr>
            <w:r>
              <w:rPr>
                <w:rFonts w:ascii="仿宋_GB2312" w:hAnsi="仿宋_GB2312" w:cs="仿宋_GB2312" w:eastAsia="仿宋_GB2312"/>
              </w:rPr>
              <w:t>劳动力安排计划方案</w:t>
            </w:r>
          </w:p>
        </w:tc>
        <w:tc>
          <w:tcPr>
            <w:tcW w:type="dxa" w:w="2492"/>
          </w:tcPr>
          <w:p>
            <w:pPr>
              <w:pStyle w:val="null3"/>
            </w:pPr>
            <w:r>
              <w:rPr>
                <w:rFonts w:ascii="仿宋_GB2312" w:hAnsi="仿宋_GB2312" w:cs="仿宋_GB2312" w:eastAsia="仿宋_GB2312"/>
              </w:rPr>
              <w:t>一、评审内容 针对本项目内容提出适用于本项目的劳动力安排计划方案。 二、评审标准 1、完整性：方案必须全面，对评审内容中的各项要求有详细描述； 2、针对性：方案能够紧扣项目实际情况，内容科学合理； 3、可实施性：切合本项目实际情况，提出步骤清晰、合理的方案。 三、赋分标准（满分3分） 劳动力安排计划方案：每完全满足一个评审标准得1分；针对评审标准存在有不合理处的得0.5分；内容与本项目无关或未提供的得0分。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技术文件.docx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一、评审内容 针对本项目内容提出适用于本项目的确保工程质量的技术组织措施。 二、评审标准 1、完整性：方案必须全面，对评审内容中的各项要求有详细描述； 2、针对性：方案能够紧扣项目实际情况，内容科学合理； 3、可实施性：切合本项目实际情况，提出步骤清晰、合理的方案。 三、赋分标准（满分3分） 确保工程质量的技术组织措施：每完全满足一个评审标准得1分；针对评审标准存在有不合理处的得0.5分；内容与本项目无关或未提供的得0分。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技术文件.docx</w:t>
            </w:r>
          </w:p>
        </w:tc>
      </w:tr>
      <w:tr>
        <w:tc>
          <w:tcPr>
            <w:tcW w:type="dxa" w:w="831"/>
            <w:vMerge/>
          </w:tcPr>
          <w:p/>
        </w:tc>
        <w:tc>
          <w:tcPr>
            <w:tcW w:type="dxa" w:w="1661"/>
          </w:tcPr>
          <w:p>
            <w:pPr>
              <w:pStyle w:val="null3"/>
            </w:pPr>
            <w:r>
              <w:rPr>
                <w:rFonts w:ascii="仿宋_GB2312" w:hAnsi="仿宋_GB2312" w:cs="仿宋_GB2312" w:eastAsia="仿宋_GB2312"/>
              </w:rPr>
              <w:t>确保安全生产技术组织措施</w:t>
            </w:r>
          </w:p>
        </w:tc>
        <w:tc>
          <w:tcPr>
            <w:tcW w:type="dxa" w:w="2492"/>
          </w:tcPr>
          <w:p>
            <w:pPr>
              <w:pStyle w:val="null3"/>
            </w:pPr>
            <w:r>
              <w:rPr>
                <w:rFonts w:ascii="仿宋_GB2312" w:hAnsi="仿宋_GB2312" w:cs="仿宋_GB2312" w:eastAsia="仿宋_GB2312"/>
              </w:rPr>
              <w:t>一、评审内容 针对本项目内容提出适用于本项目的确保安全生产技术组织措施，包括①施工人员安全培训措施；②设施安全检查措施；③安全施工措施。 二、评审标准 1、完整性：方案必须全面，对评审内容中的各项要求有详细描述； 2、针对性：方案能够紧扣项目实际情况，内容科学合理； 3、可实施性：切合本项目实际情况，提出步骤清晰、合理的方案。 三、赋分标准（满分9分） ①施工人员安全培训措施：每完全满足一个评审标准得1分；针对评审标准存在有不合理处的得0.5分；内容与本项目无关或未提供的得0分。 ②设施安全检查措施：每完全满足一个评审标准得1分；针对评审标准存在有不合理处的得0.5分；内容与本项目无关或未提供的得0分。 ③安全施工措施：每完全满足一个评审标准得1分；针对评审标准存在有不合理处的得0.5分；内容与本项目无关或未提供的得0分。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技术文件.docx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w:t>
            </w:r>
          </w:p>
        </w:tc>
        <w:tc>
          <w:tcPr>
            <w:tcW w:type="dxa" w:w="2492"/>
          </w:tcPr>
          <w:p>
            <w:pPr>
              <w:pStyle w:val="null3"/>
            </w:pPr>
            <w:r>
              <w:rPr>
                <w:rFonts w:ascii="仿宋_GB2312" w:hAnsi="仿宋_GB2312" w:cs="仿宋_GB2312" w:eastAsia="仿宋_GB2312"/>
              </w:rPr>
              <w:t>一、评审内容 针对本项目内容提出适用于本项目的确保文明施工的技术组织措施。 二、评审标准 1、完整性：方案必须全面，对评审内容中的各项要求有详细描述； 2、针对性：方案能够紧扣项目实际情况，内容科学合理； 3、可实施性：切合本项目实际情况，提出步骤清晰、合理的方案。 三、赋分标准（满分3分） 确保文明施工的技术组织措施：每完全满足一个评审标准得1分；针对评审标准存在有不合理处的得0.5分；内容与本项目无关或未提供的得0分。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技术文件.docx</w:t>
            </w:r>
          </w:p>
        </w:tc>
      </w:tr>
      <w:tr>
        <w:tc>
          <w:tcPr>
            <w:tcW w:type="dxa" w:w="831"/>
            <w:vMerge/>
          </w:tcPr>
          <w:p/>
        </w:tc>
        <w:tc>
          <w:tcPr>
            <w:tcW w:type="dxa" w:w="1661"/>
          </w:tcPr>
          <w:p>
            <w:pPr>
              <w:pStyle w:val="null3"/>
            </w:pPr>
            <w:r>
              <w:rPr>
                <w:rFonts w:ascii="仿宋_GB2312" w:hAnsi="仿宋_GB2312" w:cs="仿宋_GB2312" w:eastAsia="仿宋_GB2312"/>
              </w:rPr>
              <w:t>确保环境保护的组织措施</w:t>
            </w:r>
          </w:p>
        </w:tc>
        <w:tc>
          <w:tcPr>
            <w:tcW w:type="dxa" w:w="2492"/>
          </w:tcPr>
          <w:p>
            <w:pPr>
              <w:pStyle w:val="null3"/>
            </w:pPr>
            <w:r>
              <w:rPr>
                <w:rFonts w:ascii="仿宋_GB2312" w:hAnsi="仿宋_GB2312" w:cs="仿宋_GB2312" w:eastAsia="仿宋_GB2312"/>
              </w:rPr>
              <w:t>一、评审内容 针对本项目内容提出适用于本项目的确保环境保护的组织措施，包括①治污减霾措施；②施工周围及施工场地的环境保护措施。 二、评审标准 1、完整性：方案必须全面，对评审内容中的各项要求有详细描述； 2、针对性：方案能够紧扣项目实际情况，内容科学合理； 3、可实施性：切合本项目实际情况，提出步骤清晰、合理的方案。 三、赋分标准（满分6分） ①治污减霾措施：每完全满足一个评审标准得1分；针对评审标准存在有不合理处的得0.5分；内容与本项目无关或未提供的得0分。 ②施工周围及施工场地的环境保护措施：每完全满足一个评审标准得1分；针对评审标准存在有不合理处的得0.5分；内容与本项目无关或未提供的得0分。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技术文件.docx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一、评审内容 针对本项目内容提出适用于本项目的确保工期的技术组织措施。 二、评审标准 1、完整性：方案必须全面，对评审内容中的各项要求有详细描述； 2、针对性：方案能够紧扣项目实际情况，内容科学合理； 3、可实施性：切合本项目实际情况，提出步骤清晰、合理的方案。 三、赋分标准（满分3分） 确保工期的技术组织措施：每完全满足一个评审标准得1分；针对评审标准存在有不合理处的得0.5分；内容与本项目无关或未提供的得0分。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技术文件.docx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针对本项目内容提出适用于本项目的应急预案，包括①突发事故应急方案；②突发雨雪、大风、大雾等特殊天气的应急方案。 二、评审标准 1、完整性：方案必须全面，对评审内容中的各项要求有详细描述； 2、针对性：方案能够紧扣项目实际情况，内容科学合理； 3、可实施性：切合本项目实际情况，提出步骤清晰、合理的方案。 三、赋分标准（满分6分） ①突发事故应急方案：每完全满足一个评审标准得1分；针对评审标准存在有不合理处的得0.5分；内容与本项目无关或未提供的得0分。 ②突发雨雪、大风、大雾等特殊天气的应急方案：每完全满足一个评审标准得1分；针对评审标准存在有不合理处的得0.5分；内容与本项目无关或未提供的得0分。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技术文件.docx</w:t>
            </w:r>
          </w:p>
        </w:tc>
      </w:tr>
      <w:tr>
        <w:tc>
          <w:tcPr>
            <w:tcW w:type="dxa" w:w="831"/>
            <w:vMerge/>
          </w:tcPr>
          <w:p/>
        </w:tc>
        <w:tc>
          <w:tcPr>
            <w:tcW w:type="dxa" w:w="1661"/>
          </w:tcPr>
          <w:p>
            <w:pPr>
              <w:pStyle w:val="null3"/>
            </w:pPr>
            <w:r>
              <w:rPr>
                <w:rFonts w:ascii="仿宋_GB2312" w:hAnsi="仿宋_GB2312" w:cs="仿宋_GB2312" w:eastAsia="仿宋_GB2312"/>
              </w:rPr>
              <w:t>承诺</w:t>
            </w:r>
          </w:p>
        </w:tc>
        <w:tc>
          <w:tcPr>
            <w:tcW w:type="dxa" w:w="2492"/>
          </w:tcPr>
          <w:p>
            <w:pPr>
              <w:pStyle w:val="null3"/>
            </w:pPr>
            <w:r>
              <w:rPr>
                <w:rFonts w:ascii="仿宋_GB2312" w:hAnsi="仿宋_GB2312" w:cs="仿宋_GB2312" w:eastAsia="仿宋_GB2312"/>
              </w:rPr>
              <w:t>一、评审内容 针对本项目内容提出适用于本项目的相关承诺，包括：①对实施过程中与采购人的沟通、协调等内容做出承诺；②供应商对施工过程产生的垃圾按规定倾倒、不随意抛洒等内容做出承诺及对工期时限、工程质量及进度等内容作出承诺；③供应商对照明设施产品的来源渠道正规、合理性做出承诺。 二、评审标准 1、完整性：方案必须全面，对评审内容中的各项要求有详细描述； 2、针对性：方案能够紧扣项目实际情况，内容科学合理； 3、可实施性：切合本项目实际情况，提出步骤清晰、合理的方案。 三、赋分标准（满分9分） ①对实施过程中与采购人的沟通、协调等内容做出承诺：每完全满足一个评审标准得1分；针对评审标准存在有不合理处的得0.5分；内容与本项目无关或未提供的得0分。 ②供应商对施工过程产生的垃圾按规定倾倒、不随意抛洒等内容做出承诺及对工期时限、工程质量及进度等内容作出承诺：每完全满足一个评审标准得1分；针对评审标准存在有不合理处的得0.5分；内容与本项目无关或未提供的得0分。 ③供应商对照明设施产品的来源渠道正规、合理性做出承诺：每完全满足一个评审标准得1分；针对评审标准存在有不合理处的得0.5分；内容与本项目无关或未提供的得0分。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技术文件.docx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供应商提供近三年（2022年1月1日至今）类似项目业绩，业绩以合同为依据，响应文件中附有其证明资料，每提供一个业绩证明计2分，满分6分。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施工主要材料为节能产品或环境标志产品的，每种产品得0.5分，最高得1分，没有不得分；节能产品与环境标志产品可同时得分（供应商需提供所需主要原材料与设备经国家确定的认证机构出具的、处于有效期之内的节能产品、环境标志产品认证证书复印件。）</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技术文件.docx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详见附件：技术文件.docx</w:t>
      </w:r>
    </w:p>
    <w:p>
      <w:pPr>
        <w:pStyle w:val="null3"/>
        <w:ind w:firstLine="960"/>
      </w:pPr>
      <w:r>
        <w:rPr>
          <w:rFonts w:ascii="仿宋_GB2312" w:hAnsi="仿宋_GB2312" w:cs="仿宋_GB2312" w:eastAsia="仿宋_GB2312"/>
        </w:rPr>
        <w:t>详见附件：法定代表人（单位负责人）身份证明或委托授权书.docx</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