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版本号：HJCS2501-13820250930002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皂河水毁修复工程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HJCS2501-138</w:t>
      </w:r>
      <w:r>
        <w:br/>
      </w:r>
      <w:r>
        <w:br/>
      </w:r>
      <w:r>
        <w:br/>
      </w:r>
    </w:p>
    <w:p>
      <w:pPr>
        <w:pStyle w:val="null3"/>
        <w:jc w:val="center"/>
        <w:outlineLvl w:val="2"/>
      </w:pPr>
      <w:r>
        <w:rPr>
          <w:rFonts w:ascii="仿宋_GB2312" w:hAnsi="仿宋_GB2312" w:cs="仿宋_GB2312" w:eastAsia="仿宋_GB2312"/>
          <w:sz w:val="28"/>
          <w:b/>
        </w:rPr>
        <w:t>西安市西北郊城市排洪渠道管理中心</w:t>
      </w:r>
    </w:p>
    <w:p>
      <w:pPr>
        <w:pStyle w:val="null3"/>
        <w:jc w:val="center"/>
        <w:outlineLvl w:val="2"/>
      </w:pPr>
      <w:r>
        <w:rPr>
          <w:rFonts w:ascii="仿宋_GB2312" w:hAnsi="仿宋_GB2312" w:cs="仿宋_GB2312" w:eastAsia="仿宋_GB2312"/>
          <w:sz w:val="28"/>
          <w:b/>
        </w:rPr>
        <w:t>陕西海佳项目管理有限公司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陕西海佳项目管理有限公司</w:t>
      </w:r>
      <w:r>
        <w:rPr>
          <w:rFonts w:ascii="仿宋_GB2312" w:hAnsi="仿宋_GB2312" w:cs="仿宋_GB2312" w:eastAsia="仿宋_GB2312"/>
        </w:rPr>
        <w:t>（以下简称“代理机构”）受</w:t>
      </w:r>
      <w:r>
        <w:rPr>
          <w:rFonts w:ascii="仿宋_GB2312" w:hAnsi="仿宋_GB2312" w:cs="仿宋_GB2312" w:eastAsia="仿宋_GB2312"/>
        </w:rPr>
        <w:t>西安市西北郊城市排洪渠道管理中心</w:t>
      </w:r>
      <w:r>
        <w:rPr>
          <w:rFonts w:ascii="仿宋_GB2312" w:hAnsi="仿宋_GB2312" w:cs="仿宋_GB2312" w:eastAsia="仿宋_GB2312"/>
        </w:rPr>
        <w:t>委托，拟对</w:t>
      </w:r>
      <w:r>
        <w:rPr>
          <w:rFonts w:ascii="仿宋_GB2312" w:hAnsi="仿宋_GB2312" w:cs="仿宋_GB2312" w:eastAsia="仿宋_GB2312"/>
        </w:rPr>
        <w:t>皂河水毁修复工程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HJCS2501-138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皂河水毁修复工程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主要建设内容包括:皂河大寨路段、皂河阿房一路段、皂河石化大道段、皂河六村堡立交段、皂河入渭口段水毁修复。要求符合国家、地方、行业相关合格标准及采购人相关要求。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采购包1（皂河水毁修复工程）：属于专门面向中小企业采购。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1、供应商资质要求：供应商资质要求:供应商应具备水利水电施工总承包三级及以上资质；具有合格有效的安全生产许可证，供应商在“陕西省建筑市场监管与诚信信息发布平台”可查询。</w:t>
      </w:r>
    </w:p>
    <w:p>
      <w:pPr>
        <w:pStyle w:val="null3"/>
      </w:pPr>
      <w:r>
        <w:rPr>
          <w:rFonts w:ascii="仿宋_GB2312" w:hAnsi="仿宋_GB2312" w:cs="仿宋_GB2312" w:eastAsia="仿宋_GB2312"/>
        </w:rPr>
        <w:t>2、拟派本工程项目负责人资格要求：拟派本工程项目负责人资格要求：拟派本工程项目负责人具有水利水电工程专业贰级及以上注册建造师资格，具有合格有效的安全生产考核合格证（B证），在本单位注册，且无在建工程（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西安市西北郊城市排洪渠道管理中心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西安市未央区北二环西段69号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029-86689956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陕西海佳项目管理有限公司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西安市高新区唐延路35号旺座现代城C座2604室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029-88765319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1）采购代理服务费依据《关于印发招标代理服务收费管理暂行办法的通知》（计价格【2002】1980号）和《关于招标代理服务收费有关问题的通知》（发改办价格【2003】857号）规定标准计算收取。（2）采购代理服务费缴纳账户：开户名称：陕西海佳项目管理有限公司开户银行：招商银行股份有限公司西安城西支行账号：129911759510401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西安市西北郊城市排洪渠道管理中心</w:t>
      </w:r>
      <w:r>
        <w:rPr>
          <w:rFonts w:ascii="仿宋_GB2312" w:hAnsi="仿宋_GB2312" w:cs="仿宋_GB2312" w:eastAsia="仿宋_GB2312"/>
        </w:rPr>
        <w:t>和</w:t>
      </w:r>
      <w:r>
        <w:rPr>
          <w:rFonts w:ascii="仿宋_GB2312" w:hAnsi="仿宋_GB2312" w:cs="仿宋_GB2312" w:eastAsia="仿宋_GB2312"/>
        </w:rPr>
        <w:t>陕西海佳项目管理有限公司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西安市西北郊城市排洪渠道管理中心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陕西海佳项目管理有限公司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西安市西北郊城市排洪渠道管理中心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陕西海佳项目管理有限公司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符合《水利水电建设工程验收规程》SL/T223-2025合格标准。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联系人：雷鹏飞</w:t>
      </w:r>
    </w:p>
    <w:p>
      <w:pPr>
        <w:pStyle w:val="null3"/>
      </w:pPr>
      <w:r>
        <w:rPr>
          <w:rFonts w:ascii="仿宋_GB2312" w:hAnsi="仿宋_GB2312" w:cs="仿宋_GB2312" w:eastAsia="仿宋_GB2312"/>
        </w:rPr>
        <w:t>联系电话：029-88765319</w:t>
      </w:r>
    </w:p>
    <w:p>
      <w:pPr>
        <w:pStyle w:val="null3"/>
      </w:pPr>
      <w:r>
        <w:rPr>
          <w:rFonts w:ascii="仿宋_GB2312" w:hAnsi="仿宋_GB2312" w:cs="仿宋_GB2312" w:eastAsia="仿宋_GB2312"/>
        </w:rPr>
        <w:t>地址：西安市高新区唐延路35号旺座现代城C座2604室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1,310,000.00</w:t>
      </w:r>
    </w:p>
    <w:p>
      <w:pPr>
        <w:pStyle w:val="null3"/>
      </w:pPr>
      <w:r>
        <w:rPr>
          <w:rFonts w:ascii="仿宋_GB2312" w:hAnsi="仿宋_GB2312" w:cs="仿宋_GB2312" w:eastAsia="仿宋_GB2312"/>
        </w:rPr>
        <w:t>采购包最高限价（元）: 1,310,000.00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皂河水毁修复工程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1,310,000.00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标的名称：皂河水毁修复工程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18"/>
                <w:b/>
              </w:rPr>
              <w:t>一、工程建设必要性</w:t>
            </w:r>
          </w:p>
          <w:p>
            <w:pPr>
              <w:pStyle w:val="null3"/>
              <w:ind w:firstLine="240"/>
              <w:jc w:val="both"/>
            </w:pPr>
            <w:r>
              <w:rPr>
                <w:rFonts w:ascii="仿宋_GB2312" w:hAnsi="仿宋_GB2312" w:cs="仿宋_GB2312" w:eastAsia="仿宋_GB2312"/>
                <w:sz w:val="18"/>
              </w:rPr>
              <w:t>皂河是西安市重要的排洪河道，防洪体系主要以河道堤防护岸、堤顶防汛道路及护堤绿化带等共同组成。沿岸市政排水口较多，易对河道砌护冲刷破坏。2024年8月份，西安市境内普降大到暴雨,造成市政雨水管网排水量骤增,河底局部严重淘刷、浆砌石护坡塌陷，直接威胁到河道行洪安全；皂河六村堡立交匝道下部堤顶道路无法通车，防汛抢险工作困难;皂河滨河大道至入渭口大桥段左岸堤顶现状排水设施不满足排水需求，堤防背水坡受雨水冲刷，形成数处冲沟、冲坑。为保证河道防洪及运行安全，实施本工程是必要的。</w:t>
            </w:r>
          </w:p>
          <w:p>
            <w:pPr>
              <w:pStyle w:val="null3"/>
              <w:ind w:firstLine="422"/>
              <w:jc w:val="both"/>
            </w:pPr>
            <w:r>
              <w:rPr>
                <w:rFonts w:ascii="仿宋_GB2312" w:hAnsi="仿宋_GB2312" w:cs="仿宋_GB2312" w:eastAsia="仿宋_GB2312"/>
                <w:sz w:val="18"/>
                <w:b/>
              </w:rPr>
              <w:t>二、设计标准</w:t>
            </w:r>
          </w:p>
          <w:p>
            <w:pPr>
              <w:pStyle w:val="null3"/>
              <w:ind w:firstLine="420"/>
              <w:jc w:val="both"/>
            </w:pPr>
            <w:r>
              <w:rPr>
                <w:rFonts w:ascii="仿宋_GB2312" w:hAnsi="仿宋_GB2312" w:cs="仿宋_GB2312" w:eastAsia="仿宋_GB2312"/>
                <w:sz w:val="18"/>
              </w:rPr>
              <w:t>本次修复工程维持原设计标准，其中皂河大寨路段、皂河阿房一路段、皂河石化大道段、皂河六村堡立交段防洪标准为暴雨重现期3年，皂河入渭口段防洪标准为10年一遇洪水设计，工程等别为Ш等，堤防级别为3级，附属建筑物级别为4级，道路参考原设计防汛道路结构恢复。根据《水利水电工程合理使用年限及耐久性设计规范》(SL654-2014)《水工混凝土结构设计规范》(SL191-2008)，本工程砼抗渗等级W4，抗冻等级 F150。</w:t>
            </w:r>
          </w:p>
          <w:p>
            <w:pPr>
              <w:pStyle w:val="null3"/>
              <w:ind w:firstLine="422"/>
              <w:jc w:val="both"/>
            </w:pPr>
            <w:r>
              <w:rPr>
                <w:rFonts w:ascii="仿宋_GB2312" w:hAnsi="仿宋_GB2312" w:cs="仿宋_GB2312" w:eastAsia="仿宋_GB2312"/>
                <w:sz w:val="18"/>
                <w:b/>
              </w:rPr>
              <w:t>三、工程建设内容</w:t>
            </w:r>
          </w:p>
          <w:p>
            <w:pPr>
              <w:pStyle w:val="null3"/>
              <w:ind w:firstLine="420"/>
              <w:jc w:val="both"/>
            </w:pPr>
            <w:r>
              <w:rPr>
                <w:rFonts w:ascii="仿宋_GB2312" w:hAnsi="仿宋_GB2312" w:cs="仿宋_GB2312" w:eastAsia="仿宋_GB2312"/>
                <w:sz w:val="18"/>
              </w:rPr>
              <w:t>(一)皂河大寨路段:修复河道右岸边坡塌陷27㎡，采用M10浆砌石对护坡进行修复，坡比1:1.5，采用C30砼对河底冲坑修复加固;治理冲坑面积约65㎡;</w:t>
            </w:r>
          </w:p>
          <w:p>
            <w:pPr>
              <w:pStyle w:val="null3"/>
              <w:ind w:firstLine="420"/>
              <w:jc w:val="both"/>
            </w:pPr>
            <w:r>
              <w:rPr>
                <w:rFonts w:ascii="仿宋_GB2312" w:hAnsi="仿宋_GB2312" w:cs="仿宋_GB2312" w:eastAsia="仿宋_GB2312"/>
                <w:sz w:val="18"/>
              </w:rPr>
              <w:t>(二)皂河阿房一路段:修复河道左岸边坡塌陷27㎡，采用 M10浆砌石对护坡进行修复，坡比1:1.5，采用C30砼对河底冲坑修复加固;治理冲坑面积约112㎡;</w:t>
            </w:r>
          </w:p>
          <w:p>
            <w:pPr>
              <w:pStyle w:val="null3"/>
              <w:ind w:firstLine="420"/>
              <w:jc w:val="both"/>
            </w:pPr>
            <w:r>
              <w:rPr>
                <w:rFonts w:ascii="仿宋_GB2312" w:hAnsi="仿宋_GB2312" w:cs="仿宋_GB2312" w:eastAsia="仿宋_GB2312"/>
                <w:sz w:val="18"/>
              </w:rPr>
              <w:t>(三)皂河石化大道段:拆除两岸水毁边坡，采用M10浆砌石对护坡及基础按原设计断面恢复，边坡坡比1:1.5，砌护顶以上至现状坡顶之间坡面撒草籽绿化，护坡拆除恢复长度共83.5m，对右岸下游局部裂缝采用M12.5水泥砂浆填缝，面积6.04㎡;</w:t>
            </w:r>
          </w:p>
          <w:p>
            <w:pPr>
              <w:pStyle w:val="null3"/>
              <w:ind w:firstLine="420"/>
              <w:jc w:val="both"/>
            </w:pPr>
            <w:r>
              <w:rPr>
                <w:rFonts w:ascii="仿宋_GB2312" w:hAnsi="仿宋_GB2312" w:cs="仿宋_GB2312" w:eastAsia="仿宋_GB2312"/>
                <w:sz w:val="18"/>
              </w:rPr>
              <w:t>(四)皂河六村堡立交段:对右岸现状堤顶防汛抢险道路局部破损裂缝处路面进行修复，修复长度10m;对损坏严重处道路进行拆除重建，重建道路长度20m，路面宽度3-5m，道路右侧设置波形钢防护栏杆24m;改建下穿绕行段防汛抢险道路长度54m，路面宽3.5m，道路右侧设置波形钢防护栏杆68m，修复道路路面均采用 C30砼;</w:t>
            </w:r>
          </w:p>
          <w:p>
            <w:pPr>
              <w:pStyle w:val="null3"/>
              <w:ind w:firstLine="420"/>
              <w:jc w:val="both"/>
            </w:pPr>
            <w:r>
              <w:rPr>
                <w:rFonts w:ascii="仿宋_GB2312" w:hAnsi="仿宋_GB2312" w:cs="仿宋_GB2312" w:eastAsia="仿宋_GB2312"/>
                <w:sz w:val="18"/>
              </w:rPr>
              <w:t>(五)皂河入渭口段:本段修复工程位于皂河滨河大道至入渭大桥段左岸，包括新建堤顶路面纵向排水沟长度234.36m，新建2处路面截水沟，新建6处集水口、坡面排水沟及坡底消能池;堤防背水坡冲坑修复1处，采用黏土回填，回填后坡面植草恢复。</w:t>
            </w:r>
          </w:p>
          <w:p>
            <w:pPr>
              <w:pStyle w:val="null3"/>
              <w:ind w:firstLine="422"/>
              <w:jc w:val="both"/>
            </w:pPr>
            <w:r>
              <w:rPr>
                <w:rFonts w:ascii="仿宋_GB2312" w:hAnsi="仿宋_GB2312" w:cs="仿宋_GB2312" w:eastAsia="仿宋_GB2312"/>
                <w:sz w:val="18"/>
                <w:b/>
              </w:rPr>
              <w:t>四、主要工程量</w:t>
            </w:r>
          </w:p>
          <w:p>
            <w:pPr>
              <w:pStyle w:val="null3"/>
              <w:ind w:firstLine="420"/>
              <w:jc w:val="both"/>
            </w:pPr>
            <w:r>
              <w:rPr>
                <w:rFonts w:ascii="仿宋_GB2312" w:hAnsi="仿宋_GB2312" w:cs="仿宋_GB2312" w:eastAsia="仿宋_GB2312"/>
                <w:sz w:val="18"/>
              </w:rPr>
              <w:t>土方开挖 493m³，土方回填269m³，混凝土120m³，砌筑工程 292m³、钢筋 0.49t等，详见工程量清单。</w:t>
            </w:r>
          </w:p>
          <w:p>
            <w:pPr>
              <w:pStyle w:val="null3"/>
              <w:jc w:val="both"/>
            </w:pPr>
            <w:r>
              <w:rPr>
                <w:rFonts w:ascii="仿宋_GB2312" w:hAnsi="仿宋_GB2312" w:cs="仿宋_GB2312" w:eastAsia="仿宋_GB2312"/>
                <w:sz w:val="18"/>
                <w:b/>
              </w:rPr>
              <w:t>五、工期及质量要求</w:t>
            </w:r>
          </w:p>
          <w:p>
            <w:pPr>
              <w:pStyle w:val="null3"/>
              <w:ind w:firstLine="420"/>
              <w:jc w:val="both"/>
            </w:pPr>
            <w:r>
              <w:rPr>
                <w:rFonts w:ascii="仿宋_GB2312" w:hAnsi="仿宋_GB2312" w:cs="仿宋_GB2312" w:eastAsia="仿宋_GB2312"/>
                <w:sz w:val="18"/>
              </w:rPr>
              <w:t>1、工期：90日历天。</w:t>
            </w:r>
          </w:p>
          <w:p>
            <w:pPr>
              <w:pStyle w:val="null3"/>
              <w:ind w:firstLine="420"/>
              <w:jc w:val="both"/>
            </w:pPr>
            <w:r>
              <w:rPr>
                <w:rFonts w:ascii="仿宋_GB2312" w:hAnsi="仿宋_GB2312" w:cs="仿宋_GB2312" w:eastAsia="仿宋_GB2312"/>
                <w:sz w:val="18"/>
              </w:rPr>
              <w:t>2、质量要求：符合《水利水电建设工程验收规程》SL/T223-2025合格标准。</w:t>
            </w:r>
          </w:p>
          <w:p>
            <w:pPr>
              <w:pStyle w:val="null3"/>
              <w:jc w:val="both"/>
            </w:pPr>
            <w:r>
              <w:rPr>
                <w:rFonts w:ascii="仿宋_GB2312" w:hAnsi="仿宋_GB2312" w:cs="仿宋_GB2312" w:eastAsia="仿宋_GB2312"/>
                <w:sz w:val="18"/>
                <w:b/>
              </w:rPr>
              <w:t>六、工程量清单（见附</w:t>
            </w:r>
            <w:r>
              <w:rPr>
                <w:rFonts w:ascii="仿宋_GB2312" w:hAnsi="仿宋_GB2312" w:cs="仿宋_GB2312" w:eastAsia="仿宋_GB2312"/>
                <w:sz w:val="18"/>
                <w:b/>
              </w:rPr>
              <w:t>见工程量清单）</w:t>
            </w:r>
          </w:p>
          <w:p>
            <w:pPr>
              <w:pStyle w:val="null3"/>
              <w:jc w:val="both"/>
            </w:pPr>
            <w:r>
              <w:rPr>
                <w:rFonts w:ascii="仿宋_GB2312" w:hAnsi="仿宋_GB2312" w:cs="仿宋_GB2312" w:eastAsia="仿宋_GB2312"/>
                <w:sz w:val="18"/>
                <w:b/>
              </w:rPr>
              <w:t>七、付款比例</w:t>
            </w:r>
          </w:p>
          <w:p>
            <w:pPr>
              <w:pStyle w:val="null3"/>
              <w:ind w:firstLine="420"/>
              <w:jc w:val="both"/>
            </w:pPr>
            <w:r>
              <w:rPr>
                <w:rFonts w:ascii="仿宋_GB2312" w:hAnsi="仿宋_GB2312" w:cs="仿宋_GB2312" w:eastAsia="仿宋_GB2312"/>
                <w:sz w:val="18"/>
              </w:rPr>
              <w:t>1、付款比例：</w:t>
            </w:r>
          </w:p>
          <w:p>
            <w:pPr>
              <w:pStyle w:val="null3"/>
              <w:ind w:firstLine="420"/>
              <w:jc w:val="both"/>
            </w:pPr>
            <w:r>
              <w:rPr>
                <w:rFonts w:ascii="仿宋_GB2312" w:hAnsi="仿宋_GB2312" w:cs="仿宋_GB2312" w:eastAsia="仿宋_GB2312"/>
                <w:sz w:val="18"/>
              </w:rPr>
              <w:t>（1）按照工程实施进度结算进行支付，工程完工后，支付至合同金额的85％；</w:t>
            </w:r>
          </w:p>
          <w:p>
            <w:pPr>
              <w:pStyle w:val="null3"/>
              <w:ind w:firstLine="420"/>
              <w:jc w:val="both"/>
            </w:pPr>
            <w:r>
              <w:rPr>
                <w:rFonts w:ascii="仿宋_GB2312" w:hAnsi="仿宋_GB2312" w:cs="仿宋_GB2312" w:eastAsia="仿宋_GB2312"/>
                <w:sz w:val="18"/>
              </w:rPr>
              <w:t>（2）剩余款项待项目竣工验收合格后一次性支付。</w:t>
            </w:r>
          </w:p>
          <w:p>
            <w:pPr>
              <w:pStyle w:val="null3"/>
              <w:ind w:firstLine="420"/>
              <w:jc w:val="both"/>
            </w:pPr>
            <w:r>
              <w:rPr>
                <w:rFonts w:ascii="仿宋_GB2312" w:hAnsi="仿宋_GB2312" w:cs="仿宋_GB2312" w:eastAsia="仿宋_GB2312"/>
                <w:sz w:val="18"/>
              </w:rPr>
              <w:t>2、结算方式：银行转账。</w:t>
            </w:r>
          </w:p>
          <w:p>
            <w:pPr>
              <w:pStyle w:val="null3"/>
              <w:jc w:val="both"/>
            </w:pPr>
            <w:r>
              <w:rPr>
                <w:rFonts w:ascii="仿宋_GB2312" w:hAnsi="仿宋_GB2312" w:cs="仿宋_GB2312" w:eastAsia="仿宋_GB2312"/>
                <w:sz w:val="18"/>
              </w:rPr>
              <w:t>3、结算单位：供应商按工程进度申报结算，经采购人审核同意后，供应商开具支付款项的全额发票交采购人。</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符合《水利水电建设工程验收规程》SL/T223-2025合格标准。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符合国家、地方、行业相关合格标准及采购人相关要求。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1.本项目采购标的对应的中小企业划分标准所属行业为建筑业。 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2.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3.根据《西安市财政局关于促进政府采购公平竞争优化营商环境的通知》（市财函〔2021〕431号）文件的要求，采购代理机构向采购人提交评标报告、采购人确定中标人、采购代理机构发布中标公告和采购人或采购代理机构发出中标通知书的期限要求，均在法定期限要求基础上提前1个工作日。4.根据《陕西省财政厅关于持续优化政府采购营商环境有关事项的通知》（陕财办采〔2024〕9 号）文件的通知，采购人在中标（成交）通知书发出之日起 25 日内，按照采购文件确定的事项与中标（成交）供应商签订政府采购合同。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（2）税收缴纳证明：提供供应商自磋商前12个月以来已缴纳任意时段完税凭证或税务机关开具的完税证明（任意税种）；依法免税的应提供相关文件证明； （3）社会保障资金缴纳证明：提供供应商自磋商前12个月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6）采购人、采购代理机构将通过“信用中国”网站（www.creditchina.gov.cn）和中国政府采购网站（www.ccgp.gov.cn）查询投标人信用记录，被列入失信被执行人、重大税收违法失信主体、政府采购严重违法失信行为记录名单的供应商将被拒绝参与本项目磋商，信用信息查询的截止时点以供应商须知前附表的规定时点为准。 供应商需在项目电子化交易系统中按要求填写《响应函》完成承诺并进行电子签章。并在《供应商应提交的相关资格证明材料》中提供上述资格证明材料。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需提供2024年度经审计的供应商财务会计报告或者提供响应文件截止时间3个月内其基本账户开户银行出具的资信证明。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供应商资质要求:供应商应具备水利水电施工总承包三级及以上资质；具有合格有效的安全生产许可证，供应商在“陕西省建筑市场监管与诚信信息发布平台”可查询。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拟派本工程项目负责人资格要求</w:t>
            </w:r>
          </w:p>
        </w:tc>
        <w:tc>
          <w:tcPr>
            <w:tcW w:type="dxa" w:w="3322"/>
          </w:tcPr>
          <w:p>
            <w:pPr>
              <w:pStyle w:val="null3"/>
            </w:pPr>
            <w:r>
              <w:rPr>
                <w:rFonts w:ascii="仿宋_GB2312" w:hAnsi="仿宋_GB2312" w:cs="仿宋_GB2312" w:eastAsia="仿宋_GB2312"/>
              </w:rPr>
              <w:t>拟派本工程项目负责人资格要求：拟派本工程项目负责人具有水利水电工程专业贰级及以上注册建造师资格，具有合格有效的安全生产考核合格证（B证），在本单位注册，且无在建工程（提供承诺书）。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法定代表人（单位负责人）身份证明或委托授权书</w:t>
            </w:r>
          </w:p>
        </w:tc>
        <w:tc>
          <w:tcPr>
            <w:tcW w:type="dxa" w:w="3322"/>
          </w:tcPr>
          <w:p>
            <w:pPr>
              <w:pStyle w:val="null3"/>
            </w:pPr>
            <w:r>
              <w:rPr>
                <w:rFonts w:ascii="仿宋_GB2312" w:hAnsi="仿宋_GB2312" w:cs="仿宋_GB2312" w:eastAsia="仿宋_GB2312"/>
              </w:rPr>
              <w:t>法定代表人（单位负责人）参加磋商的，提供法定代表人（单位负责人）身份证明；法定代表人（单位负责人）授权他人参加磋商的，提供法定代表人（单位负责人）委托授权书</w:t>
            </w:r>
          </w:p>
        </w:tc>
        <w:tc>
          <w:tcPr>
            <w:tcW w:type="dxa" w:w="1661"/>
          </w:tcPr>
          <w:p>
            <w:pPr>
              <w:pStyle w:val="null3"/>
            </w:pPr>
            <w:r>
              <w:rPr>
                <w:rFonts w:ascii="仿宋_GB2312" w:hAnsi="仿宋_GB2312" w:cs="仿宋_GB2312" w:eastAsia="仿宋_GB2312"/>
              </w:rPr>
              <w:t>法定代表人（单位负责人）身份证明或委托授权书.docx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按照要求签署、盖章</w:t>
            </w:r>
          </w:p>
        </w:tc>
        <w:tc>
          <w:tcPr>
            <w:tcW w:type="dxa" w:w="1661"/>
          </w:tcPr>
          <w:p>
            <w:pPr>
              <w:pStyle w:val="null3"/>
            </w:pPr>
            <w:r>
              <w:rPr>
                <w:rFonts w:ascii="仿宋_GB2312" w:hAnsi="仿宋_GB2312" w:cs="仿宋_GB2312" w:eastAsia="仿宋_GB2312"/>
              </w:rPr>
              <w:t>响应文件封面 报价函 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响应文件封面 报价函 技术服务合同条款及其他商务要求应答表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付款条件</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工程量</w:t>
            </w:r>
          </w:p>
        </w:tc>
        <w:tc>
          <w:tcPr>
            <w:tcW w:type="dxa" w:w="3322"/>
          </w:tcPr>
          <w:p>
            <w:pPr>
              <w:pStyle w:val="null3"/>
            </w:pPr>
            <w:r>
              <w:rPr>
                <w:rFonts w:ascii="仿宋_GB2312" w:hAnsi="仿宋_GB2312" w:cs="仿宋_GB2312" w:eastAsia="仿宋_GB2312"/>
              </w:rPr>
              <w:t>应符合磋商文件给出的范围和数量</w:t>
            </w:r>
          </w:p>
        </w:tc>
        <w:tc>
          <w:tcPr>
            <w:tcW w:type="dxa" w:w="1661"/>
          </w:tcPr>
          <w:p>
            <w:pPr>
              <w:pStyle w:val="null3"/>
            </w:pPr>
            <w:r>
              <w:rPr>
                <w:rFonts w:ascii="仿宋_GB2312" w:hAnsi="仿宋_GB2312" w:cs="仿宋_GB2312" w:eastAsia="仿宋_GB2312"/>
              </w:rPr>
              <w:t>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一、评审内容 针对本项目内容提出适用于本项目的施工组织和项目管理机构，方案包括：①施工组织方案；②项目管理机构组织方案。 二、评审标准 1、完整性：方案必须全面，对评审内容中的各项要求有详细描述； 2、针对性：方案能够紧扣项目实际情况，内容科学合理； 3、可实施性：切合本项目实际情况，提出步骤清晰、合理的方案。 三、赋分标准（满分6分） ①施工组织：每完全满足一个评审标准得1分；针对评审标准存在有不合理处的得0.5分；内容与本项目无关或未提供的得0分。 ②项目管理机构:每完全满足一个评审标准得1分；针对评审标准存在有不合理处的得0.5分；内容与本项目无关或未提供的得0分。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针对本项目内容提出适用于本项目的施工方案，方案包括：①水毁修复方案；②施工场地管理方案；③场地人员管理方案。 二、评审标准 1、完整性：方案必须全面，对评审内容中的各项要求有详细描述； 2、针对性：方案能够紧扣项目实际情况，内容科学合理； 3、可实施性：切合本项目实际情况，提出步骤清晰、合理的方案。 三、赋分标准（满分9分） ①水毁修复方案：每完全满足一个评审标准得1分；针对评审标准存在有不合理处的得0.5分；内容与本项目无关或未提供的得0分。 ②施工场地管理方案：每完全满足一个评审标准得1分；针对评审标准存在有不合理处的得0.5分；内容与本项目无关或未提供的得0分。 ③场地人员管理方案：每完全满足一个评审标准得1分；针对评审标准存在有不合理处的得0.5分；内容与本项目无关或未提供的得0分。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一、评审内容 针对本项目内容提出适用于本项目的投入本项目施工机械配备和材料投入计划，包括①施工机械配备方案；②材料投入计划。 二、评审标准 1、完整性：方案必须全面，对评审内容中的各项要求有详细描述； 2、针对性：方案能够紧扣项目实际情况，内容科学合理； 3、可实施性：切合本项目实际情况，提出步骤清晰、合理的方案。 三、赋分标准（满分6分） ①施工机械配备方案：每完全满足一个评审标准得1分；针对评审标准存在有不合理处的得0.5分；内容与本项目无关或未提供的得0分。 ②材料投入计划：每完全满足一个评审标准得1分；针对评审标准存在有不合理处的得0.5分；内容与本项目无关或未提供的得0分。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劳动力安排计划方案</w:t>
            </w:r>
          </w:p>
        </w:tc>
        <w:tc>
          <w:tcPr>
            <w:tcW w:type="dxa" w:w="2492"/>
          </w:tcPr>
          <w:p>
            <w:pPr>
              <w:pStyle w:val="null3"/>
            </w:pPr>
            <w:r>
              <w:rPr>
                <w:rFonts w:ascii="仿宋_GB2312" w:hAnsi="仿宋_GB2312" w:cs="仿宋_GB2312" w:eastAsia="仿宋_GB2312"/>
              </w:rPr>
              <w:t>一、评审内容 针对本项目内容提出适用于本项目的劳动力安排计划方案。 二、评审标准 1、完整性：方案必须全面，对评审内容中的各项要求有详细描述； 2、针对性：方案能够紧扣项目实际情况，内容科学合理； 3、可实施性：切合本项目实际情况，提出步骤清晰、合理的方案。 三、赋分标准（满分3分） 劳动力安排计划方案：每完全满足一个评审标准得1分；针对评审标准存在有不合理处的得0.5分；内容与本项目无关或未提供的得0分。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针对本项目内容提出适用于本项目的确保工程质量的技术组织措施。 二、评审标准 1、完整性：方案必须全面，对评审内容中的各项要求有详细描述； 2、针对性：方案能够紧扣项目实际情况，内容科学合理； 3、可实施性：切合本项目实际情况，提出步骤清晰、合理的方案。 三、赋分标准（满分3分） 确保工程质量的技术组织措施：每完全满足一个评审标准得1分；针对评审标准存在有不合理处的得0.5分；内容与本项目无关或未提供的得0分。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一、评审内容 针对本项目内容提出适用于本项目的确保安全生产技术组织措施，包括①施工人员安全培训措施；②设施安全检查措施；③安全施工措施。 二、评审标准 1、完整性：方案必须全面，对评审内容中的各项要求有详细描述； 2、针对性：方案能够紧扣项目实际情况，内容科学合理； 3、可实施性：切合本项目实际情况，提出步骤清晰、合理的方案。 三、赋分标准（满分9分） ①施工人员安全培训措施：每完全满足一个评审标准得1分；针对评审标准存在有不合理处的得0.5分；内容与本项目无关或未提供的得0分。 ②设施安全检查措施：每完全满足一个评审标准得1分；针对评审标准存在有不合理处的得0.5分；内容与本项目无关或未提供的得0分。 ③安全施工措施：每完全满足一个评审标准得1分；针对评审标准存在有不合理处的得0.5分；内容与本项目无关或未提供的得0分。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一、评审内容 针对本项目内容提出适用于本项目的确保文明施工的技术组织措施。 二、评审标准 1、完整性：方案必须全面，对评审内容中的各项要求有详细描述； 2、针对性：方案能够紧扣项目实际情况，内容科学合理； 3、可实施性：切合本项目实际情况，提出步骤清晰、合理的方案。 三、赋分标准（满分3分） 确保文明施工的技术组织措施：每完全满足一个评审标准得1分；针对评审标准存在有不合理处的得0.5分；内容与本项目无关或未提供的得0分。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确保环境保护的组织措施</w:t>
            </w:r>
          </w:p>
        </w:tc>
        <w:tc>
          <w:tcPr>
            <w:tcW w:type="dxa" w:w="2492"/>
          </w:tcPr>
          <w:p>
            <w:pPr>
              <w:pStyle w:val="null3"/>
            </w:pPr>
            <w:r>
              <w:rPr>
                <w:rFonts w:ascii="仿宋_GB2312" w:hAnsi="仿宋_GB2312" w:cs="仿宋_GB2312" w:eastAsia="仿宋_GB2312"/>
              </w:rPr>
              <w:t>一、评审内容 针对本项目内容提出适用于本项目的确保环境保护的组织措施，包括①治污减霾措施；②施工周围及施工场地的环境保护措施。 二、评审标准 1、完整性：方案必须全面，对评审内容中的各项要求有详细描述； 2、针对性：方案能够紧扣项目实际情况，内容科学合理； 3、可实施性：切合本项目实际情况，提出步骤清晰、合理的方案。 三、赋分标准（满分6分） ①治污减霾措施：每完全满足一个评审标准得1分；针对评审标准存在有不合理处的得0.5分；内容与本项目无关或未提供的得0分。 ②施工周围及施工场地的环境保护措施：每完全满足一个评审标准得1分；针对评审标准存在有不合理处的得0.5分；内容与本项目无关或未提供的得0分。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针对本项目内容提出适用于本项目的确保工期的技术组织措施。 二、评审标准 1、完整性：方案必须全面，对评审内容中的各项要求有详细描述； 2、针对性：方案能够紧扣项目实际情况，内容科学合理； 3、可实施性：切合本项目实际情况，提出步骤清晰、合理的方案。 三、赋分标准（满分3分） 确保工期的技术组织措施：每完全满足一个评审标准得1分；针对评审标准存在有不合理处的得0.5分；内容与本项目无关或未提供的得0分。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针对本项目内容提出适用于本项目的应急预案，包括①突发事故应急方案；②突发雨雪、大风、大雾等特殊天气的应急方案。 二、评审标准 1、完整性：方案必须全面，对评审内容中的各项要求有详细描述； 2、针对性：方案能够紧扣项目实际情况，内容科学合理； 3、可实施性：切合本项目实际情况，提出步骤清晰、合理的方案。 三、赋分标准（满分6分） ①突发事故应急方案：每完全满足一个评审标准得1分；针对评审标准存在有不合理处的得0.5分；内容与本项目无关或未提供的得0分。 ②突发雨雪、大风、大雾等特殊天气的应急方案：每完全满足一个评审标准得1分；针对评审标准存在有不合理处的得0.5分；内容与本项目无关或未提供的得0分。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供应商提供近三年（2022年1月1日至今）类似项目业绩，业绩以合同为依据，响应文件中附有其证明资料，每提供一个业绩证明计2分，满分6分。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施工主要材料为节能产品或环境标志产品的，每种产品得0.5分，最高得1分，没有不得分；节能产品与环境标志产品可同时得分（供应商需提供所需主要原材料与设备经国家确定的认证机构出具的、处于有效期之内的节能产品、环境标志产品认证证书复印件。）</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一、评审内容 针对本项目内容提出适用于本项目的相关承诺，包括：①对实施过程中与采购人的沟通、协调等内容做出承诺；②供应商对施工过程产生的垃圾按规定倾倒、不随意抛洒等内容做出承诺；③供应商对工期时限、工程质量及进度等内容作出承诺。 二、评审标准 1、完整性：方案必须全面，对评审内容中的各项要求有详细描述； 2、针对性：方案能够紧扣项目实际情况，内容科学合理； 3、可实施性：切合本项目实际情况，提出步骤清晰、合理的方案。 三、赋分标准（满分9分） ①对实施过程中与采购人的沟通、协调等内容做出承诺：每完全满足一个评审标准得1分；针对评审标准存在有不合理处的得0.5分；内容与本项目无关或未提供的得0分。 ②供应商对施工过程产生的垃圾按规定倾倒、不随意抛洒等内容做出承诺：每完全满足一个评审标准得1分；针对评审标准存在有不合理处的得0.5分；内容与本项目无关或未提供的得0分。 ③供应商对工期时限、工程质量及进度等内容作出承诺：每完全满足一个评审标准得1分；针对评审标准存在有不合理处的得0.5分；内容与本项目无关或未提供的得0分。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详见附件：技术文件.docx</w:t>
      </w:r>
    </w:p>
    <w:p>
      <w:pPr>
        <w:pStyle w:val="null3"/>
        <w:ind w:firstLine="960"/>
      </w:pPr>
      <w:r>
        <w:rPr>
          <w:rFonts w:ascii="仿宋_GB2312" w:hAnsi="仿宋_GB2312" w:cs="仿宋_GB2312" w:eastAsia="仿宋_GB2312"/>
        </w:rPr>
        <w:t>详见附件：法定代表人（单位负责人）身份证明或委托授权书.docx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