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版本号：TZZB-2025301C20250930001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赴中亚国家开展自贸推介交流活动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TZZB-2025301C</w:t>
      </w:r>
      <w:r>
        <w:br/>
      </w:r>
      <w:r>
        <w:br/>
      </w:r>
      <w:r>
        <w:br/>
      </w:r>
    </w:p>
    <w:p>
      <w:pPr>
        <w:pStyle w:val="null3"/>
        <w:jc w:val="center"/>
        <w:outlineLvl w:val="2"/>
      </w:pPr>
      <w:r>
        <w:rPr>
          <w:rFonts w:ascii="仿宋_GB2312" w:hAnsi="仿宋_GB2312" w:cs="仿宋_GB2312" w:eastAsia="仿宋_GB2312"/>
          <w:sz w:val="28"/>
          <w:b/>
        </w:rPr>
        <w:t>西安市商务局（本级）</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西安市商务局（本级）</w:t>
      </w:r>
      <w:r>
        <w:rPr>
          <w:rFonts w:ascii="仿宋_GB2312" w:hAnsi="仿宋_GB2312" w:cs="仿宋_GB2312" w:eastAsia="仿宋_GB2312"/>
        </w:rPr>
        <w:t>委托，拟对</w:t>
      </w:r>
      <w:r>
        <w:rPr>
          <w:rFonts w:ascii="仿宋_GB2312" w:hAnsi="仿宋_GB2312" w:cs="仿宋_GB2312" w:eastAsia="仿宋_GB2312"/>
        </w:rPr>
        <w:t>赴中亚国家开展自贸推介交流活动</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TZZB-2025301C</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赴中亚国家开展自贸推介交流活动</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认真落实第二届中国—中亚峰会成果，搭建我市自贸试验区企业开拓国际市场平台，推动与“一带一路”国家和地区的经贸合作和人文交流，我局拟组团赴乌兹别克斯坦、哈萨克斯坦举办两场经贸活动。根据市财政局对市级部门预算资金的批准情况，我们拟委托第三方专业机构，计划使用资金40万元，包含举办“2025中国（西安）—乌兹别克斯坦‘一带一路’经贸合作与人文交流专题推介会”25万元，举办“中国（西安）—哈萨克斯坦经贸合作恳谈会”15万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采购包1（赴中亚国家开展自贸推介交流活动）：属于专门面向中小企业采购。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1、营业执照：具有独立承担民事责任能力的法人、其他组织或自然人，营业执照、组织机构代码证、税务登记证（三证合一只提供营业执照，事业单位提供事业单位法人证书，自然人应提供身份证）合法有效；</w:t>
      </w:r>
    </w:p>
    <w:p>
      <w:pPr>
        <w:pStyle w:val="null3"/>
      </w:pPr>
      <w:r>
        <w:rPr>
          <w:rFonts w:ascii="仿宋_GB2312" w:hAnsi="仿宋_GB2312" w:cs="仿宋_GB2312" w:eastAsia="仿宋_GB2312"/>
        </w:rPr>
        <w:t>2、磋商响应单位代表身份：供应商应授权合法的人员参加投标，其中法定代表人直接参加的须出具法人身份证，须与营业执照上信息一致，授权代表参加的须出具法定代表人授权书及被授权人身份证及本单位参保证明（提交投标文件截止时间前六个月内任意连续三个月的社会保险缴纳证明）。</w:t>
      </w:r>
    </w:p>
    <w:p>
      <w:pPr>
        <w:pStyle w:val="null3"/>
      </w:pPr>
      <w:r>
        <w:rPr>
          <w:rFonts w:ascii="仿宋_GB2312" w:hAnsi="仿宋_GB2312" w:cs="仿宋_GB2312" w:eastAsia="仿宋_GB2312"/>
        </w:rPr>
        <w:t>3、税收缴纳证明：提供2025年01月至今已缴纳的至少一个月的纳税证明或完税证明（任意税种），依法免税的单位应提供相关证明材料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4、社会保障资金缴纳证明：提供2025年01月至今已缴存的至少一个月的社会保障资金缴存单据或社保机构开具的社会保险参保缴费情况证明，依法不需要缴纳社会保障资金的单位应提供相关证明材料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财务状况：提供2024年度经会计事务所或审计机构出具完整的财务审计报告(包括审计报告、资产负债表、利润表、现金流量表、所有者权益变动表及其附注，成立时间至提交响应文件截止时间不足一年的可提供成立后任意时段的资产负债表)，或其开标前六个月内基本开户银行出具的资信证明。（以上两种形式的资料提供任何一种即可）</w:t>
      </w:r>
    </w:p>
    <w:p>
      <w:pPr>
        <w:pStyle w:val="null3"/>
      </w:pPr>
      <w:r>
        <w:rPr>
          <w:rFonts w:ascii="仿宋_GB2312" w:hAnsi="仿宋_GB2312" w:cs="仿宋_GB2312" w:eastAsia="仿宋_GB2312"/>
        </w:rPr>
        <w:t>6、经营活动：参加政府采购活动前三年内，在经营活动中没有重大违法记录的书面声明</w:t>
      </w:r>
    </w:p>
    <w:p>
      <w:pPr>
        <w:pStyle w:val="null3"/>
      </w:pPr>
      <w:r>
        <w:rPr>
          <w:rFonts w:ascii="仿宋_GB2312" w:hAnsi="仿宋_GB2312" w:cs="仿宋_GB2312" w:eastAsia="仿宋_GB2312"/>
        </w:rPr>
        <w:t>7、控股、管理关系：磋商单位负责人为同一人或者存在控股、管理关系的不同单位不得同时进行投标</w:t>
      </w:r>
    </w:p>
    <w:p>
      <w:pPr>
        <w:pStyle w:val="null3"/>
      </w:pPr>
      <w:r>
        <w:rPr>
          <w:rFonts w:ascii="仿宋_GB2312" w:hAnsi="仿宋_GB2312" w:cs="仿宋_GB2312" w:eastAsia="仿宋_GB2312"/>
        </w:rPr>
        <w:t>8、“信用中国”网站和“中国政府采购网”查询截图：响应单位不得为“信用中国”网站（www.creditchina.gov.cn）（中国执行信息公开网）和中国政府采购网（www.ccgp.gov.cn）中被列入失信被执行人、重大税收违法失信主体、政府采购严重违法失信行为记录名单的单位</w:t>
      </w:r>
    </w:p>
    <w:p>
      <w:pPr>
        <w:pStyle w:val="null3"/>
      </w:pPr>
      <w:r>
        <w:rPr>
          <w:rFonts w:ascii="仿宋_GB2312" w:hAnsi="仿宋_GB2312" w:cs="仿宋_GB2312" w:eastAsia="仿宋_GB2312"/>
        </w:rPr>
        <w:t>9、具有履行合同所必需的设备和专业技术能力：具有履行合同所必需的设备和专业技术能力的承诺函</w:t>
      </w:r>
    </w:p>
    <w:p>
      <w:pPr>
        <w:pStyle w:val="null3"/>
      </w:pPr>
      <w:r>
        <w:rPr>
          <w:rFonts w:ascii="仿宋_GB2312" w:hAnsi="仿宋_GB2312" w:cs="仿宋_GB2312" w:eastAsia="仿宋_GB2312"/>
        </w:rPr>
        <w:t>10、中小企业声明函：项目为专门面向中小企业项目，供应商须为中型企业或者小型、微型企业或监狱企业或残疾人福利性单位</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西安市商务局（本级）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杨曼</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86786527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陕西省西安市经开区凤城八路180号长和国际F座22层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王燕、倪莹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029-86522030转612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执行，代理服务费不足3300元按3300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西安市商务局（本级）</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西安市商务局（本级）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西安市商务局（本级）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1、服务期满后按照成交供应商所提供的资料及数据进行验收； 2、最终验收：自合同签订之日起至完成全部项目内容，需按照采购人确定的时间完成交付并验收合格，验收合格后，填写验收单。</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联系人：王燕、倪莹</w:t>
      </w:r>
    </w:p>
    <w:p>
      <w:pPr>
        <w:pStyle w:val="null3"/>
      </w:pPr>
      <w:r>
        <w:rPr>
          <w:rFonts w:ascii="仿宋_GB2312" w:hAnsi="仿宋_GB2312" w:cs="仿宋_GB2312" w:eastAsia="仿宋_GB2312"/>
        </w:rPr>
        <w:t>联系电话：029-86522030转612</w:t>
      </w:r>
    </w:p>
    <w:p>
      <w:pPr>
        <w:pStyle w:val="null3"/>
      </w:pPr>
      <w:r>
        <w:rPr>
          <w:rFonts w:ascii="仿宋_GB2312" w:hAnsi="仿宋_GB2312" w:cs="仿宋_GB2312" w:eastAsia="仿宋_GB2312"/>
        </w:rPr>
        <w:t>地址：陕西省西安市经济技术开发区凤城八路长和国际F座22层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认真落实第二届中国—中亚峰会成果，搭建我市自贸试验区企业开拓国际市场平台，推动与“一带一路”国家和地区的经贸合作和人文交流，我局拟组团赴乌兹别克斯坦、哈萨克斯坦举办两场经贸活动。根据市财政局对市级部门预算资金的批准情况，我们拟委托第三方专业机构，计划使用资金40万元，包含举办“2025中国（西安）—乌兹别克斯坦‘一带一路’经贸合作与人文交流专题推介会”25万元，举办“中国（西安）—哈萨克斯坦经贸合作恳谈会”15万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赴中亚国家开展自贸推介交流活动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标的名称：赴中亚国家开展自贸推介交流活动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一、项目概况</w:t>
            </w:r>
            <w:r>
              <w:rPr>
                <w:rFonts w:ascii="仿宋_GB2312" w:hAnsi="仿宋_GB2312" w:cs="仿宋_GB2312" w:eastAsia="仿宋_GB2312"/>
                <w:sz w:val="20"/>
              </w:rPr>
              <w:t xml:space="preserve">       </w:t>
            </w:r>
          </w:p>
          <w:p>
            <w:pPr>
              <w:pStyle w:val="null3"/>
            </w:pPr>
            <w:r>
              <w:rPr>
                <w:rFonts w:ascii="仿宋_GB2312" w:hAnsi="仿宋_GB2312" w:cs="仿宋_GB2312" w:eastAsia="仿宋_GB2312"/>
                <w:sz w:val="20"/>
              </w:rPr>
              <w:t>为认真落实第二届中国—中亚峰会成果，搭建我市自贸试验区企业开拓国际市场平台，推动与“一带一路”国家和地区的经贸合作和人文交流，我局拟组团赴乌兹别克斯坦、哈萨克斯坦举办两场经贸活动。根据市财政局对市级部门预算资金的批准情况，我们拟委托第三方专业机构，计划使用资金</w:t>
            </w:r>
            <w:r>
              <w:rPr>
                <w:rFonts w:ascii="仿宋_GB2312" w:hAnsi="仿宋_GB2312" w:cs="仿宋_GB2312" w:eastAsia="仿宋_GB2312"/>
                <w:sz w:val="20"/>
              </w:rPr>
              <w:t>40</w:t>
            </w:r>
            <w:r>
              <w:rPr>
                <w:rFonts w:ascii="仿宋_GB2312" w:hAnsi="仿宋_GB2312" w:cs="仿宋_GB2312" w:eastAsia="仿宋_GB2312"/>
                <w:sz w:val="20"/>
              </w:rPr>
              <w:t>万元，包含举办“</w:t>
            </w:r>
            <w:r>
              <w:rPr>
                <w:rFonts w:ascii="仿宋_GB2312" w:hAnsi="仿宋_GB2312" w:cs="仿宋_GB2312" w:eastAsia="仿宋_GB2312"/>
                <w:sz w:val="20"/>
              </w:rPr>
              <w:t>2025</w:t>
            </w:r>
            <w:r>
              <w:rPr>
                <w:rFonts w:ascii="仿宋_GB2312" w:hAnsi="仿宋_GB2312" w:cs="仿宋_GB2312" w:eastAsia="仿宋_GB2312"/>
                <w:sz w:val="20"/>
              </w:rPr>
              <w:t>中国（西安）—乌兹别克斯坦‘一带一路’经贸合作与人文交流专题推介会”</w:t>
            </w:r>
            <w:r>
              <w:rPr>
                <w:rFonts w:ascii="仿宋_GB2312" w:hAnsi="仿宋_GB2312" w:cs="仿宋_GB2312" w:eastAsia="仿宋_GB2312"/>
                <w:sz w:val="20"/>
              </w:rPr>
              <w:t>25</w:t>
            </w:r>
            <w:r>
              <w:rPr>
                <w:rFonts w:ascii="仿宋_GB2312" w:hAnsi="仿宋_GB2312" w:cs="仿宋_GB2312" w:eastAsia="仿宋_GB2312"/>
                <w:sz w:val="20"/>
              </w:rPr>
              <w:t>万元，举办“中国（西安）—哈萨克斯坦经贸合作恳谈会”</w:t>
            </w:r>
            <w:r>
              <w:rPr>
                <w:rFonts w:ascii="仿宋_GB2312" w:hAnsi="仿宋_GB2312" w:cs="仿宋_GB2312" w:eastAsia="仿宋_GB2312"/>
                <w:sz w:val="20"/>
              </w:rPr>
              <w:t>15</w:t>
            </w:r>
            <w:r>
              <w:rPr>
                <w:rFonts w:ascii="仿宋_GB2312" w:hAnsi="仿宋_GB2312" w:cs="仿宋_GB2312" w:eastAsia="仿宋_GB2312"/>
                <w:sz w:val="20"/>
              </w:rPr>
              <w:t>万元。</w:t>
            </w:r>
          </w:p>
          <w:p>
            <w:pPr>
              <w:pStyle w:val="null3"/>
            </w:pPr>
            <w:r>
              <w:rPr>
                <w:rFonts w:ascii="仿宋_GB2312" w:hAnsi="仿宋_GB2312" w:cs="仿宋_GB2312" w:eastAsia="仿宋_GB2312"/>
                <w:sz w:val="20"/>
              </w:rPr>
              <w:t>二、服务内容（包括工作区域、工作内容等）</w:t>
            </w:r>
          </w:p>
          <w:p>
            <w:pPr>
              <w:pStyle w:val="null3"/>
            </w:pPr>
            <w:r>
              <w:rPr>
                <w:rFonts w:ascii="仿宋_GB2312" w:hAnsi="仿宋_GB2312" w:cs="仿宋_GB2312" w:eastAsia="仿宋_GB2312"/>
                <w:sz w:val="20"/>
              </w:rPr>
              <w:t>1</w:t>
            </w:r>
            <w:r>
              <w:rPr>
                <w:rFonts w:ascii="仿宋_GB2312" w:hAnsi="仿宋_GB2312" w:cs="仿宋_GB2312" w:eastAsia="仿宋_GB2312"/>
                <w:sz w:val="20"/>
              </w:rPr>
              <w:t>、委托第三方机构举办“</w:t>
            </w:r>
            <w:r>
              <w:rPr>
                <w:rFonts w:ascii="仿宋_GB2312" w:hAnsi="仿宋_GB2312" w:cs="仿宋_GB2312" w:eastAsia="仿宋_GB2312"/>
                <w:sz w:val="20"/>
              </w:rPr>
              <w:t>2025</w:t>
            </w:r>
            <w:r>
              <w:rPr>
                <w:rFonts w:ascii="仿宋_GB2312" w:hAnsi="仿宋_GB2312" w:cs="仿宋_GB2312" w:eastAsia="仿宋_GB2312"/>
                <w:sz w:val="20"/>
              </w:rPr>
              <w:t>中国（西安）—乌兹别克斯坦‘一带一路’经贸合作与人文交流专题推介会”，拟邀请乌兹别克斯坦相关政府部门、国家工商会及重点企业代表等约</w:t>
            </w:r>
            <w:r>
              <w:rPr>
                <w:rFonts w:ascii="仿宋_GB2312" w:hAnsi="仿宋_GB2312" w:cs="仿宋_GB2312" w:eastAsia="仿宋_GB2312"/>
                <w:sz w:val="20"/>
              </w:rPr>
              <w:t>50</w:t>
            </w:r>
            <w:r>
              <w:rPr>
                <w:rFonts w:ascii="仿宋_GB2312" w:hAnsi="仿宋_GB2312" w:cs="仿宋_GB2312" w:eastAsia="仿宋_GB2312"/>
                <w:sz w:val="20"/>
              </w:rPr>
              <w:t>人参会。</w:t>
            </w:r>
          </w:p>
          <w:p>
            <w:pPr>
              <w:pStyle w:val="null3"/>
            </w:pPr>
            <w:r>
              <w:rPr>
                <w:rFonts w:ascii="仿宋_GB2312" w:hAnsi="仿宋_GB2312" w:cs="仿宋_GB2312" w:eastAsia="仿宋_GB2312"/>
                <w:sz w:val="20"/>
              </w:rPr>
              <w:t>2</w:t>
            </w:r>
            <w:r>
              <w:rPr>
                <w:rFonts w:ascii="仿宋_GB2312" w:hAnsi="仿宋_GB2312" w:cs="仿宋_GB2312" w:eastAsia="仿宋_GB2312"/>
                <w:sz w:val="20"/>
              </w:rPr>
              <w:t>、委托第三方机构举办“</w:t>
            </w:r>
            <w:r>
              <w:rPr>
                <w:rFonts w:ascii="仿宋_GB2312" w:hAnsi="仿宋_GB2312" w:cs="仿宋_GB2312" w:eastAsia="仿宋_GB2312"/>
                <w:sz w:val="20"/>
              </w:rPr>
              <w:t>2025</w:t>
            </w:r>
            <w:r>
              <w:rPr>
                <w:rFonts w:ascii="仿宋_GB2312" w:hAnsi="仿宋_GB2312" w:cs="仿宋_GB2312" w:eastAsia="仿宋_GB2312"/>
                <w:sz w:val="20"/>
              </w:rPr>
              <w:t>中国（西安）—哈萨克斯坦经贸合作恳谈会”，拟邀请阿拉木图市政府、投资机构、商会及企业代表</w:t>
            </w:r>
            <w:r>
              <w:rPr>
                <w:rFonts w:ascii="仿宋_GB2312" w:hAnsi="仿宋_GB2312" w:cs="仿宋_GB2312" w:eastAsia="仿宋_GB2312"/>
                <w:sz w:val="20"/>
              </w:rPr>
              <w:t>30</w:t>
            </w:r>
            <w:r>
              <w:rPr>
                <w:rFonts w:ascii="仿宋_GB2312" w:hAnsi="仿宋_GB2312" w:cs="仿宋_GB2312" w:eastAsia="仿宋_GB2312"/>
                <w:sz w:val="20"/>
              </w:rPr>
              <w:t>–</w:t>
            </w:r>
            <w:r>
              <w:rPr>
                <w:rFonts w:ascii="仿宋_GB2312" w:hAnsi="仿宋_GB2312" w:cs="仿宋_GB2312" w:eastAsia="仿宋_GB2312"/>
                <w:sz w:val="20"/>
              </w:rPr>
              <w:t>40</w:t>
            </w:r>
            <w:r>
              <w:rPr>
                <w:rFonts w:ascii="仿宋_GB2312" w:hAnsi="仿宋_GB2312" w:cs="仿宋_GB2312" w:eastAsia="仿宋_GB2312"/>
                <w:sz w:val="20"/>
              </w:rPr>
              <w:t>人参会。</w:t>
            </w:r>
          </w:p>
          <w:p>
            <w:pPr>
              <w:pStyle w:val="null3"/>
            </w:pPr>
            <w:r>
              <w:rPr>
                <w:rFonts w:ascii="仿宋_GB2312" w:hAnsi="仿宋_GB2312" w:cs="仿宋_GB2312" w:eastAsia="仿宋_GB2312"/>
                <w:sz w:val="20"/>
              </w:rPr>
              <w:t>3</w:t>
            </w:r>
            <w:r>
              <w:rPr>
                <w:rFonts w:ascii="仿宋_GB2312" w:hAnsi="仿宋_GB2312" w:cs="仿宋_GB2312" w:eastAsia="仿宋_GB2312"/>
                <w:sz w:val="20"/>
              </w:rPr>
              <w:t>、提供专业会议场地及配套设备，包括活动所需的音频、灯光等设备，现场布置所需的物料制作购买、安装、摆放，会议宣传物料设计及印刷（不包含需甲方自备印刷品）以及相关的专业工作人员。</w:t>
            </w:r>
          </w:p>
          <w:p>
            <w:pPr>
              <w:pStyle w:val="null3"/>
            </w:pPr>
            <w:r>
              <w:rPr>
                <w:rFonts w:ascii="仿宋_GB2312" w:hAnsi="仿宋_GB2312" w:cs="仿宋_GB2312" w:eastAsia="仿宋_GB2312"/>
                <w:sz w:val="20"/>
              </w:rPr>
              <w:t>4</w:t>
            </w:r>
            <w:r>
              <w:rPr>
                <w:rFonts w:ascii="仿宋_GB2312" w:hAnsi="仿宋_GB2312" w:cs="仿宋_GB2312" w:eastAsia="仿宋_GB2312"/>
                <w:sz w:val="20"/>
              </w:rPr>
              <w:t>、由第三方机构提供专业的会务服务，包括活动整体策划、会场布局设计、会务翻译、会场内外搭建、会议物料制作、会务间歇茶歇、安保、摄影摄像及保障活动所需的礼仪及会务工作人员。</w:t>
            </w:r>
          </w:p>
          <w:p>
            <w:pPr>
              <w:pStyle w:val="null3"/>
            </w:pPr>
            <w:r>
              <w:rPr>
                <w:rFonts w:ascii="仿宋_GB2312" w:hAnsi="仿宋_GB2312" w:cs="仿宋_GB2312" w:eastAsia="仿宋_GB2312"/>
                <w:sz w:val="20"/>
              </w:rPr>
              <w:t>5</w:t>
            </w:r>
            <w:r>
              <w:rPr>
                <w:rFonts w:ascii="仿宋_GB2312" w:hAnsi="仿宋_GB2312" w:cs="仿宋_GB2312" w:eastAsia="仿宋_GB2312"/>
                <w:sz w:val="20"/>
              </w:rPr>
              <w:t>、由第三方机构会后提供会议现场照片，并形成会议总结。</w:t>
            </w:r>
          </w:p>
          <w:p>
            <w:pPr>
              <w:pStyle w:val="null3"/>
            </w:pPr>
            <w:r>
              <w:rPr>
                <w:rFonts w:ascii="仿宋_GB2312" w:hAnsi="仿宋_GB2312" w:cs="仿宋_GB2312" w:eastAsia="仿宋_GB2312"/>
                <w:sz w:val="20"/>
              </w:rPr>
              <w:t>三、技术要求</w:t>
            </w:r>
          </w:p>
          <w:p>
            <w:pPr>
              <w:pStyle w:val="null3"/>
            </w:pPr>
            <w:r>
              <w:rPr>
                <w:rFonts w:ascii="仿宋_GB2312" w:hAnsi="仿宋_GB2312" w:cs="仿宋_GB2312" w:eastAsia="仿宋_GB2312"/>
                <w:sz w:val="20"/>
              </w:rPr>
              <w:t>1</w:t>
            </w:r>
            <w:r>
              <w:rPr>
                <w:rFonts w:ascii="仿宋_GB2312" w:hAnsi="仿宋_GB2312" w:cs="仿宋_GB2312" w:eastAsia="仿宋_GB2312"/>
                <w:sz w:val="20"/>
              </w:rPr>
              <w:t>、对会议现场进行布置，对现场音响、灯光、</w:t>
            </w:r>
            <w:r>
              <w:rPr>
                <w:rFonts w:ascii="仿宋_GB2312" w:hAnsi="仿宋_GB2312" w:cs="仿宋_GB2312" w:eastAsia="仿宋_GB2312"/>
                <w:sz w:val="20"/>
              </w:rPr>
              <w:t>LED</w:t>
            </w:r>
            <w:r>
              <w:rPr>
                <w:rFonts w:ascii="仿宋_GB2312" w:hAnsi="仿宋_GB2312" w:cs="仿宋_GB2312" w:eastAsia="仿宋_GB2312"/>
                <w:sz w:val="20"/>
              </w:rPr>
              <w:t>屏进行调试、使用；</w:t>
            </w:r>
          </w:p>
          <w:p>
            <w:pPr>
              <w:pStyle w:val="null3"/>
            </w:pPr>
            <w:r>
              <w:rPr>
                <w:rFonts w:ascii="仿宋_GB2312" w:hAnsi="仿宋_GB2312" w:cs="仿宋_GB2312" w:eastAsia="仿宋_GB2312"/>
                <w:sz w:val="20"/>
              </w:rPr>
              <w:t>2</w:t>
            </w:r>
            <w:r>
              <w:rPr>
                <w:rFonts w:ascii="仿宋_GB2312" w:hAnsi="仿宋_GB2312" w:cs="仿宋_GB2312" w:eastAsia="仿宋_GB2312"/>
                <w:sz w:val="20"/>
              </w:rPr>
              <w:t>、设计会议所需</w:t>
            </w:r>
            <w:r>
              <w:rPr>
                <w:rFonts w:ascii="仿宋_GB2312" w:hAnsi="仿宋_GB2312" w:cs="仿宋_GB2312" w:eastAsia="仿宋_GB2312"/>
                <w:sz w:val="20"/>
              </w:rPr>
              <w:t>PPT</w:t>
            </w:r>
            <w:r>
              <w:rPr>
                <w:rFonts w:ascii="仿宋_GB2312" w:hAnsi="仿宋_GB2312" w:cs="仿宋_GB2312" w:eastAsia="仿宋_GB2312"/>
                <w:sz w:val="20"/>
              </w:rPr>
              <w:t>、背景、导引牌、布置图、会议手册、流程单等内容。</w:t>
            </w:r>
          </w:p>
          <w:p>
            <w:pPr>
              <w:pStyle w:val="null3"/>
            </w:pPr>
            <w:r>
              <w:rPr>
                <w:rFonts w:ascii="仿宋_GB2312" w:hAnsi="仿宋_GB2312" w:cs="仿宋_GB2312" w:eastAsia="仿宋_GB2312"/>
                <w:sz w:val="20"/>
              </w:rPr>
              <w:t>四、服务要求（如人员配置、专业设备、服务标准等）</w:t>
            </w:r>
          </w:p>
          <w:p>
            <w:pPr>
              <w:pStyle w:val="null3"/>
            </w:pPr>
            <w:r>
              <w:rPr>
                <w:rFonts w:ascii="仿宋_GB2312" w:hAnsi="仿宋_GB2312" w:cs="仿宋_GB2312" w:eastAsia="仿宋_GB2312"/>
                <w:sz w:val="20"/>
              </w:rPr>
              <w:t>须具备境外展会、推介会活动举办经验，活动文案、</w:t>
            </w:r>
            <w:r>
              <w:rPr>
                <w:rFonts w:ascii="仿宋_GB2312" w:hAnsi="仿宋_GB2312" w:cs="仿宋_GB2312" w:eastAsia="仿宋_GB2312"/>
                <w:sz w:val="20"/>
              </w:rPr>
              <w:t>PPT</w:t>
            </w:r>
            <w:r>
              <w:rPr>
                <w:rFonts w:ascii="仿宋_GB2312" w:hAnsi="仿宋_GB2312" w:cs="仿宋_GB2312" w:eastAsia="仿宋_GB2312"/>
                <w:sz w:val="20"/>
              </w:rPr>
              <w:t>、翻译，与境外展会组织方具有合作关系、具备目的地国家语言翻译人员、境外服务人员储备。</w:t>
            </w:r>
          </w:p>
          <w:p>
            <w:pPr>
              <w:pStyle w:val="null3"/>
            </w:pPr>
            <w:r>
              <w:rPr>
                <w:rFonts w:ascii="仿宋_GB2312" w:hAnsi="仿宋_GB2312" w:cs="仿宋_GB2312" w:eastAsia="仿宋_GB2312"/>
                <w:sz w:val="20"/>
              </w:rPr>
              <w:t>五、商务要求</w:t>
            </w:r>
          </w:p>
          <w:p>
            <w:pPr>
              <w:pStyle w:val="null3"/>
            </w:pPr>
            <w:r>
              <w:rPr>
                <w:rFonts w:ascii="仿宋_GB2312" w:hAnsi="仿宋_GB2312" w:cs="仿宋_GB2312" w:eastAsia="仿宋_GB2312"/>
                <w:sz w:val="20"/>
              </w:rPr>
              <w:t>（一）服务期限</w:t>
            </w:r>
          </w:p>
          <w:p>
            <w:pPr>
              <w:pStyle w:val="null3"/>
            </w:pPr>
            <w:r>
              <w:rPr>
                <w:rFonts w:ascii="仿宋_GB2312" w:hAnsi="仿宋_GB2312" w:cs="仿宋_GB2312" w:eastAsia="仿宋_GB2312"/>
                <w:sz w:val="20"/>
              </w:rPr>
              <w:t>自合同签订之日起至项目结束。</w:t>
            </w:r>
          </w:p>
          <w:p>
            <w:pPr>
              <w:pStyle w:val="null3"/>
            </w:pPr>
            <w:r>
              <w:rPr>
                <w:rFonts w:ascii="仿宋_GB2312" w:hAnsi="仿宋_GB2312" w:cs="仿宋_GB2312" w:eastAsia="仿宋_GB2312"/>
                <w:sz w:val="20"/>
              </w:rPr>
              <w:t>（二）款项结算</w:t>
            </w:r>
          </w:p>
          <w:p>
            <w:pPr>
              <w:pStyle w:val="null3"/>
            </w:pPr>
            <w:r>
              <w:rPr>
                <w:rFonts w:ascii="仿宋_GB2312" w:hAnsi="仿宋_GB2312" w:cs="仿宋_GB2312" w:eastAsia="仿宋_GB2312"/>
                <w:sz w:val="20"/>
              </w:rPr>
              <w:t>合同签订后</w:t>
            </w:r>
            <w:r>
              <w:rPr>
                <w:rFonts w:ascii="仿宋_GB2312" w:hAnsi="仿宋_GB2312" w:cs="仿宋_GB2312" w:eastAsia="仿宋_GB2312"/>
                <w:sz w:val="20"/>
              </w:rPr>
              <w:t xml:space="preserve">15 </w:t>
            </w:r>
            <w:r>
              <w:rPr>
                <w:rFonts w:ascii="仿宋_GB2312" w:hAnsi="仿宋_GB2312" w:cs="仿宋_GB2312" w:eastAsia="仿宋_GB2312"/>
                <w:sz w:val="20"/>
              </w:rPr>
              <w:t>日内，供应商向采购方开具等额的增值税普通发票，采购方收到符合要求的发票后</w:t>
            </w:r>
            <w:r>
              <w:rPr>
                <w:rFonts w:ascii="仿宋_GB2312" w:hAnsi="仿宋_GB2312" w:cs="仿宋_GB2312" w:eastAsia="仿宋_GB2312"/>
                <w:sz w:val="20"/>
              </w:rPr>
              <w:t>10</w:t>
            </w:r>
            <w:r>
              <w:rPr>
                <w:rFonts w:ascii="仿宋_GB2312" w:hAnsi="仿宋_GB2312" w:cs="仿宋_GB2312" w:eastAsia="仿宋_GB2312"/>
                <w:sz w:val="20"/>
              </w:rPr>
              <w:t>日内向乙方支付合同金额的</w:t>
            </w:r>
            <w:r>
              <w:rPr>
                <w:rFonts w:ascii="仿宋_GB2312" w:hAnsi="仿宋_GB2312" w:cs="仿宋_GB2312" w:eastAsia="仿宋_GB2312"/>
                <w:sz w:val="20"/>
              </w:rPr>
              <w:t>60%</w:t>
            </w:r>
            <w:r>
              <w:rPr>
                <w:rFonts w:ascii="仿宋_GB2312" w:hAnsi="仿宋_GB2312" w:cs="仿宋_GB2312" w:eastAsia="仿宋_GB2312"/>
                <w:sz w:val="20"/>
              </w:rPr>
              <w:t>项目资金。</w:t>
            </w:r>
          </w:p>
          <w:p>
            <w:pPr>
              <w:pStyle w:val="null3"/>
            </w:pPr>
            <w:r>
              <w:rPr>
                <w:rFonts w:ascii="仿宋_GB2312" w:hAnsi="仿宋_GB2312" w:cs="仿宋_GB2312" w:eastAsia="仿宋_GB2312"/>
                <w:sz w:val="20"/>
              </w:rPr>
              <w:t>剩余</w:t>
            </w:r>
            <w:r>
              <w:rPr>
                <w:rFonts w:ascii="仿宋_GB2312" w:hAnsi="仿宋_GB2312" w:cs="仿宋_GB2312" w:eastAsia="仿宋_GB2312"/>
                <w:sz w:val="20"/>
              </w:rPr>
              <w:t>40%</w:t>
            </w:r>
            <w:r>
              <w:rPr>
                <w:rFonts w:ascii="仿宋_GB2312" w:hAnsi="仿宋_GB2312" w:cs="仿宋_GB2312" w:eastAsia="仿宋_GB2312"/>
                <w:sz w:val="20"/>
              </w:rPr>
              <w:t>，项目验收合格后，供应商向采购方开具等额的增值税普通发票，采购方收到符合要求的发票后</w:t>
            </w:r>
            <w:r>
              <w:rPr>
                <w:rFonts w:ascii="仿宋_GB2312" w:hAnsi="仿宋_GB2312" w:cs="仿宋_GB2312" w:eastAsia="仿宋_GB2312"/>
                <w:sz w:val="20"/>
              </w:rPr>
              <w:t>15</w:t>
            </w:r>
            <w:r>
              <w:rPr>
                <w:rFonts w:ascii="仿宋_GB2312" w:hAnsi="仿宋_GB2312" w:cs="仿宋_GB2312" w:eastAsia="仿宋_GB2312"/>
                <w:sz w:val="20"/>
              </w:rPr>
              <w:t>日内一次性支付。</w:t>
            </w:r>
          </w:p>
          <w:p>
            <w:pPr>
              <w:pStyle w:val="null3"/>
            </w:pPr>
            <w:r>
              <w:rPr>
                <w:rFonts w:ascii="仿宋_GB2312" w:hAnsi="仿宋_GB2312" w:cs="仿宋_GB2312" w:eastAsia="仿宋_GB2312"/>
                <w:sz w:val="20"/>
              </w:rPr>
              <w:t>六、其他</w:t>
            </w:r>
          </w:p>
          <w:p>
            <w:pPr>
              <w:pStyle w:val="null3"/>
            </w:pPr>
            <w:r>
              <w:rPr>
                <w:rFonts w:ascii="仿宋_GB2312" w:hAnsi="仿宋_GB2312" w:cs="仿宋_GB2312" w:eastAsia="仿宋_GB2312"/>
                <w:sz w:val="20"/>
              </w:rPr>
              <w:t>（一）进度要求</w:t>
            </w:r>
          </w:p>
          <w:p>
            <w:pPr>
              <w:pStyle w:val="null3"/>
            </w:pPr>
            <w:r>
              <w:rPr>
                <w:rFonts w:ascii="仿宋_GB2312" w:hAnsi="仿宋_GB2312" w:cs="仿宋_GB2312" w:eastAsia="仿宋_GB2312"/>
                <w:sz w:val="20"/>
              </w:rPr>
              <w:t>根据项目举办的时间，提前一周完成所有筹备工作，在项目举办之前提前一天完成会场的所有布置、筹备、彩排工作，确保顺利举行。</w:t>
            </w:r>
          </w:p>
          <w:p>
            <w:pPr>
              <w:pStyle w:val="null3"/>
            </w:pPr>
            <w:r>
              <w:rPr>
                <w:rFonts w:ascii="仿宋_GB2312" w:hAnsi="仿宋_GB2312" w:cs="仿宋_GB2312" w:eastAsia="仿宋_GB2312"/>
                <w:sz w:val="20"/>
              </w:rPr>
              <w:t>（二）成果交付要求</w:t>
            </w:r>
          </w:p>
          <w:p>
            <w:pPr>
              <w:pStyle w:val="null3"/>
            </w:pPr>
            <w:r>
              <w:rPr>
                <w:rFonts w:ascii="仿宋_GB2312" w:hAnsi="仿宋_GB2312" w:cs="仿宋_GB2312" w:eastAsia="仿宋_GB2312"/>
                <w:sz w:val="20"/>
              </w:rPr>
              <w:t>总体内容齐全、结构清晰、表述准确、主题鲜明明确，氛围营造、设计深度达到本次要求，表现内容达到方案要求。</w:t>
            </w:r>
          </w:p>
          <w:p>
            <w:pPr>
              <w:pStyle w:val="null3"/>
            </w:pPr>
            <w:r>
              <w:rPr>
                <w:rFonts w:ascii="仿宋_GB2312" w:hAnsi="仿宋_GB2312" w:cs="仿宋_GB2312" w:eastAsia="仿宋_GB2312"/>
                <w:sz w:val="20"/>
              </w:rPr>
              <w:t>（三）质量验收标准或规范</w:t>
            </w:r>
          </w:p>
          <w:p>
            <w:pPr>
              <w:pStyle w:val="null3"/>
            </w:pPr>
            <w:r>
              <w:rPr>
                <w:rFonts w:ascii="仿宋_GB2312" w:hAnsi="仿宋_GB2312" w:cs="仿宋_GB2312" w:eastAsia="仿宋_GB2312"/>
                <w:sz w:val="20"/>
              </w:rPr>
              <w:t>1</w:t>
            </w:r>
            <w:r>
              <w:rPr>
                <w:rFonts w:ascii="仿宋_GB2312" w:hAnsi="仿宋_GB2312" w:cs="仿宋_GB2312" w:eastAsia="仿宋_GB2312"/>
                <w:sz w:val="20"/>
              </w:rPr>
              <w:t>、服务期满后按照成交供应商所提供的资料及数据进行验收；</w:t>
            </w:r>
          </w:p>
          <w:p>
            <w:pPr>
              <w:pStyle w:val="null3"/>
            </w:pPr>
            <w:r>
              <w:rPr>
                <w:rFonts w:ascii="仿宋_GB2312" w:hAnsi="仿宋_GB2312" w:cs="仿宋_GB2312" w:eastAsia="仿宋_GB2312"/>
                <w:sz w:val="20"/>
              </w:rPr>
              <w:t>2</w:t>
            </w:r>
            <w:r>
              <w:rPr>
                <w:rFonts w:ascii="仿宋_GB2312" w:hAnsi="仿宋_GB2312" w:cs="仿宋_GB2312" w:eastAsia="仿宋_GB2312"/>
                <w:sz w:val="20"/>
              </w:rPr>
              <w:t>、最终验收：自合同签订之日起至完成全部项目内容，需按照采购人确定的时间完成交付并验收合格，验收合格后，填写验收单。</w:t>
            </w:r>
          </w:p>
          <w:p>
            <w:pPr>
              <w:pStyle w:val="null3"/>
            </w:pPr>
            <w:r>
              <w:rPr>
                <w:rFonts w:ascii="仿宋_GB2312" w:hAnsi="仿宋_GB2312" w:cs="仿宋_GB2312" w:eastAsia="仿宋_GB2312"/>
                <w:sz w:val="20"/>
              </w:rPr>
              <w:t>3</w:t>
            </w:r>
            <w:r>
              <w:rPr>
                <w:rFonts w:ascii="仿宋_GB2312" w:hAnsi="仿宋_GB2312" w:cs="仿宋_GB2312" w:eastAsia="仿宋_GB2312"/>
                <w:sz w:val="20"/>
              </w:rPr>
              <w:t>、验收和评价方式</w:t>
            </w:r>
          </w:p>
          <w:p>
            <w:pPr>
              <w:pStyle w:val="null3"/>
            </w:pPr>
            <w:r>
              <w:rPr>
                <w:rFonts w:ascii="仿宋_GB2312" w:hAnsi="仿宋_GB2312" w:cs="仿宋_GB2312" w:eastAsia="仿宋_GB2312"/>
                <w:sz w:val="20"/>
              </w:rPr>
              <w:t xml:space="preserve">3.1 </w:t>
            </w:r>
            <w:r>
              <w:rPr>
                <w:rFonts w:ascii="仿宋_GB2312" w:hAnsi="仿宋_GB2312" w:cs="仿宋_GB2312" w:eastAsia="仿宋_GB2312"/>
                <w:sz w:val="20"/>
              </w:rPr>
              <w:t>乙方提供的服务最终验收达不到磋商文件要求和磋商响应文件承诺及国家或行业标准，或在使用中发现甲方不能容忍的缺陷等，将视为验收不合格，乙方应在甲方要求的时间内无条件完善或按要求赔付采购人损失。</w:t>
            </w:r>
          </w:p>
          <w:p>
            <w:pPr>
              <w:pStyle w:val="null3"/>
            </w:pPr>
            <w:r>
              <w:rPr>
                <w:rFonts w:ascii="仿宋_GB2312" w:hAnsi="仿宋_GB2312" w:cs="仿宋_GB2312" w:eastAsia="仿宋_GB2312"/>
                <w:sz w:val="20"/>
              </w:rPr>
              <w:t xml:space="preserve">3.2  </w:t>
            </w:r>
            <w:r>
              <w:rPr>
                <w:rFonts w:ascii="仿宋_GB2312" w:hAnsi="仿宋_GB2312" w:cs="仿宋_GB2312" w:eastAsia="仿宋_GB2312"/>
                <w:sz w:val="20"/>
              </w:rPr>
              <w:t>若发现乙方有弄虚作假的，及在项目实施阶段故意或随意夸大服务，本项目合同解除，乙方赔偿甲方相应的损失。</w:t>
            </w:r>
          </w:p>
          <w:p>
            <w:pPr>
              <w:pStyle w:val="null3"/>
            </w:pPr>
            <w:r>
              <w:rPr>
                <w:rFonts w:ascii="仿宋_GB2312" w:hAnsi="仿宋_GB2312" w:cs="仿宋_GB2312" w:eastAsia="仿宋_GB2312"/>
                <w:sz w:val="20"/>
              </w:rPr>
              <w:t xml:space="preserve">3.3  </w:t>
            </w:r>
            <w:r>
              <w:rPr>
                <w:rFonts w:ascii="仿宋_GB2312" w:hAnsi="仿宋_GB2312" w:cs="仿宋_GB2312" w:eastAsia="仿宋_GB2312"/>
                <w:sz w:val="20"/>
              </w:rPr>
              <w:t>验收标准：按磋商文件、磋商响应文件等服务指标进行逐项验收，各项指标均应符合验收标准及要求。</w:t>
            </w:r>
          </w:p>
          <w:p>
            <w:pPr>
              <w:pStyle w:val="null3"/>
            </w:pPr>
            <w:r>
              <w:rPr>
                <w:rFonts w:ascii="仿宋_GB2312" w:hAnsi="仿宋_GB2312" w:cs="仿宋_GB2312" w:eastAsia="仿宋_GB2312"/>
                <w:sz w:val="20"/>
              </w:rPr>
              <w:t xml:space="preserve">3.4  </w:t>
            </w:r>
            <w:r>
              <w:rPr>
                <w:rFonts w:ascii="仿宋_GB2312" w:hAnsi="仿宋_GB2312" w:cs="仿宋_GB2312" w:eastAsia="仿宋_GB2312"/>
                <w:sz w:val="20"/>
              </w:rPr>
              <w:t>验收合格后，填写验收单，双方盖章、签字生效。</w:t>
            </w:r>
          </w:p>
          <w:p>
            <w:pPr>
              <w:pStyle w:val="null3"/>
            </w:pPr>
            <w:r>
              <w:rPr>
                <w:rFonts w:ascii="仿宋_GB2312" w:hAnsi="仿宋_GB2312" w:cs="仿宋_GB2312" w:eastAsia="仿宋_GB2312"/>
                <w:sz w:val="20"/>
              </w:rPr>
              <w:t xml:space="preserve">3.5  </w:t>
            </w:r>
            <w:r>
              <w:rPr>
                <w:rFonts w:ascii="仿宋_GB2312" w:hAnsi="仿宋_GB2312" w:cs="仿宋_GB2312" w:eastAsia="仿宋_GB2312"/>
                <w:sz w:val="20"/>
              </w:rPr>
              <w:t>验收依据</w:t>
            </w:r>
          </w:p>
          <w:p>
            <w:pPr>
              <w:pStyle w:val="null3"/>
            </w:pPr>
            <w:r>
              <w:rPr>
                <w:rFonts w:ascii="仿宋_GB2312" w:hAnsi="仿宋_GB2312" w:cs="仿宋_GB2312" w:eastAsia="仿宋_GB2312"/>
                <w:sz w:val="20"/>
              </w:rPr>
              <w:t xml:space="preserve">3.5.1  </w:t>
            </w:r>
            <w:r>
              <w:rPr>
                <w:rFonts w:ascii="仿宋_GB2312" w:hAnsi="仿宋_GB2312" w:cs="仿宋_GB2312" w:eastAsia="仿宋_GB2312"/>
                <w:sz w:val="20"/>
              </w:rPr>
              <w:t>合同文本。</w:t>
            </w:r>
          </w:p>
          <w:p>
            <w:pPr>
              <w:pStyle w:val="null3"/>
            </w:pPr>
            <w:r>
              <w:rPr>
                <w:rFonts w:ascii="仿宋_GB2312" w:hAnsi="仿宋_GB2312" w:cs="仿宋_GB2312" w:eastAsia="仿宋_GB2312"/>
                <w:sz w:val="20"/>
              </w:rPr>
              <w:t xml:space="preserve">3.5.2  </w:t>
            </w:r>
            <w:r>
              <w:rPr>
                <w:rFonts w:ascii="仿宋_GB2312" w:hAnsi="仿宋_GB2312" w:cs="仿宋_GB2312" w:eastAsia="仿宋_GB2312"/>
                <w:sz w:val="20"/>
              </w:rPr>
              <w:t>磋商响应文件、磋商文件、澄清函。</w:t>
            </w:r>
          </w:p>
          <w:p>
            <w:pPr>
              <w:pStyle w:val="null3"/>
            </w:pPr>
            <w:r>
              <w:rPr>
                <w:rFonts w:ascii="仿宋_GB2312" w:hAnsi="仿宋_GB2312" w:cs="仿宋_GB2312" w:eastAsia="仿宋_GB2312"/>
                <w:sz w:val="20"/>
              </w:rPr>
              <w:t xml:space="preserve">3.5.3  </w:t>
            </w:r>
            <w:r>
              <w:rPr>
                <w:rFonts w:ascii="仿宋_GB2312" w:hAnsi="仿宋_GB2312" w:cs="仿宋_GB2312" w:eastAsia="仿宋_GB2312"/>
                <w:sz w:val="20"/>
              </w:rPr>
              <w:t>国家和行业制定的相应的标准和规范。</w:t>
            </w:r>
          </w:p>
          <w:p>
            <w:pPr>
              <w:pStyle w:val="null3"/>
            </w:pPr>
            <w:r>
              <w:rPr>
                <w:rFonts w:ascii="仿宋_GB2312" w:hAnsi="仿宋_GB2312" w:cs="仿宋_GB2312" w:eastAsia="仿宋_GB2312"/>
                <w:sz w:val="20"/>
              </w:rPr>
              <w:t>（四）违约责任</w:t>
            </w:r>
          </w:p>
          <w:p>
            <w:pPr>
              <w:pStyle w:val="null3"/>
            </w:pPr>
            <w:r>
              <w:rPr>
                <w:rFonts w:ascii="仿宋_GB2312" w:hAnsi="仿宋_GB2312" w:cs="仿宋_GB2312" w:eastAsia="仿宋_GB2312"/>
                <w:sz w:val="20"/>
              </w:rPr>
              <w:t>1</w:t>
            </w:r>
            <w:r>
              <w:rPr>
                <w:rFonts w:ascii="仿宋_GB2312" w:hAnsi="仿宋_GB2312" w:cs="仿宋_GB2312" w:eastAsia="仿宋_GB2312"/>
                <w:sz w:val="20"/>
              </w:rPr>
              <w:t>、按《中华人民共和国民法典》中的相关条款执行。</w:t>
            </w:r>
          </w:p>
          <w:p>
            <w:pPr>
              <w:pStyle w:val="null3"/>
            </w:pPr>
            <w:r>
              <w:rPr>
                <w:rFonts w:ascii="仿宋_GB2312" w:hAnsi="仿宋_GB2312" w:cs="仿宋_GB2312" w:eastAsia="仿宋_GB2312"/>
                <w:sz w:val="20"/>
              </w:rPr>
              <w:t>2、乙方未按协议要求提供服务或服务质量不能满足协议要求的，甲方应当将供应商违约的情况以及拟采取的措施以书面形式报政府采购监管部门，根据政府采购监管部门的处理意见，甲方有权依据《中华人民共和国民法典》有关条款及合同约定终止合同，并要求乙方承担违约责任。同时，政府采购监管部门有权依据《政府采购法》及相关法律法规对乙方的违法行为进行相应的处罚。</w:t>
            </w:r>
          </w:p>
          <w:p>
            <w:pPr>
              <w:pStyle w:val="null3"/>
            </w:pPr>
            <w:r>
              <w:rPr>
                <w:rFonts w:ascii="仿宋_GB2312" w:hAnsi="仿宋_GB2312" w:cs="仿宋_GB2312" w:eastAsia="仿宋_GB2312"/>
                <w:sz w:val="20"/>
              </w:rPr>
              <w:t>3、如有异议另行协商。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详见评分标准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提供专业会议场地及配套设备，包括活动所需的音频、灯光等设备，现场布置所需的物料制作购买、安装、摆放，会议宣传物料设计及印刷（不包含需甲方自备印刷品）以及相关的专业工作人员。</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服务质量：合格</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自合同签订之日起至项目结束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1、服务期满后按照成交供应商所提供的资料及数据进行验收； 2、最终验收：自合同签订之日起至完成全部项目内容，需按照采购人确定的时间完成交付并验收合格，验收合格后，填写验收单。 3、验收和评价方式 3.1 乙方提供的服务最终验收达不到磋商文件要求和磋商响应文件承诺及国家或行业标准，或在使用中发现甲方不能容忍的缺陷等，将视为验收不合格，乙方应在甲方要求的时间内无条件完善或按要求赔付采购人损失。 3.2 若发现乙方有弄虚作假的，及在项目实施阶段故意或随意夸大服务，本项目合同解除，乙方赔偿甲方相应的损失。 3.3 验收标准：按磋商文件、磋商响应文件等服务指标进行逐项验收，各项指标均应符合验收标准及要求。 3.4 验收合格后，填写验收单，双方盖章、签字生效。 3.5 验收依据 3.5.1 合同文本。 3.5.2 磋商响应文件、磋商文件、澄清函。 3.5.3 国家和行业制定的相应的标准和规范。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合同签订后15日内 ，供应商向采购方开具等额的增值税普通发票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项目结束经甲方验收合格后 ，供应商向采购方开具等额的增值税普通发票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未按协议要求提供服务或服务质量不能满足协议要求的，甲方应当将供应商违约的情况以及拟采取的措施以书面形式报政府采购监管部门，根据政府采购监管部门的处理意见，甲方有权依据《中华人民共和国民法典》有关条款及合同约定终止合同，并要求乙方承担违约责任。同时，政府采购监管部门有权依据《政府采购法》及相关法律法规对乙方的违法行为进行相应的处罚。 3、如有异议另行协商。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通过电子化交易系统协商，供应商需在电子化交易系统上传响应的文件。成交供应商在领取成交通知书前，须向采购代理机构提供纸质版响应文件3套（一正两副），且提供的响应文件必须与在陕西省政府采购综合管理平台的项目电子化交易系统中递交的电子响应文件内容一致，纸质版响应文件必须装订成册签字盖章。递交地址：陕西省西安市经济技术开发区凤城八路长和国际F座22层，联系电话：029-86522030转612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具有独立承担民事责任能力的法人、其他组织或自然人，营业执照、组织机构代码证、税务登记证（三证合一只提供营业执照，事业单位提供事业单位法人证书，自然人应提供身份证）合法有效；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磋商响应单位代表身份</w:t>
            </w:r>
          </w:p>
        </w:tc>
        <w:tc>
          <w:tcPr>
            <w:tcW w:type="dxa" w:w="3322"/>
          </w:tcPr>
          <w:p>
            <w:pPr>
              <w:pStyle w:val="null3"/>
            </w:pPr>
            <w:r>
              <w:rPr>
                <w:rFonts w:ascii="仿宋_GB2312" w:hAnsi="仿宋_GB2312" w:cs="仿宋_GB2312" w:eastAsia="仿宋_GB2312"/>
              </w:rPr>
              <w:t>供应商应授权合法的人员参加投标，其中法定代表人直接参加的须出具法人身份证，须与营业执照上信息一致，授权代表参加的须出具法定代表人授权书及被授权人身份证及本单位参保证明（提交投标文件截止时间前六个月内任意连续三个月的社会保险缴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会计事务所或审计机构出具完整的财务审计报告(包括审计报告、资产负债表、利润表、现金流量表、所有者权益变动表及其附注，成立时间至提交响应文件截止时间不足一年的可提供成立后任意时段的资产负债表)，或其开标前六个月内基本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经营活动</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磋商单位负责人为同一人或者存在控股、管理关系的不同单位不得同时进行投标</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“信用中国”网站和“中国政府采购网”查询截图</w:t>
            </w:r>
          </w:p>
        </w:tc>
        <w:tc>
          <w:tcPr>
            <w:tcW w:type="dxa" w:w="3322"/>
          </w:tcPr>
          <w:p>
            <w:pPr>
              <w:pStyle w:val="null3"/>
            </w:pPr>
            <w:r>
              <w:rPr>
                <w:rFonts w:ascii="仿宋_GB2312" w:hAnsi="仿宋_GB2312" w:cs="仿宋_GB2312" w:eastAsia="仿宋_GB2312"/>
              </w:rPr>
              <w:t>响应单位不得为“信用中国”网站（www.creditchina.gov.cn）（中国执行信息公开网）和中国政府采购网（www.ccgp.gov.cn）中被列入失信被执行人、重大税收违法失信主体、政府采购严重违法失信行为记录名单的单位</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项目为专门面向中小企业项目，供应商须为中型企业或者小型、微型企业或监狱企业或残疾人福利性单位</w:t>
            </w:r>
          </w:p>
        </w:tc>
        <w:tc>
          <w:tcPr>
            <w:tcW w:type="dxa" w:w="1661"/>
          </w:tcPr>
          <w:p>
            <w:pPr>
              <w:pStyle w:val="null3"/>
            </w:pPr>
            <w:r>
              <w:rPr>
                <w:rFonts w:ascii="仿宋_GB2312" w:hAnsi="仿宋_GB2312" w:cs="仿宋_GB2312" w:eastAsia="仿宋_GB2312"/>
              </w:rPr>
              <w:t>中小企业声明函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在磋商响应文件中指定落款处，按文件要求盖章或签字</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符合磋商文件的格式要求无重大偏离</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响应（投标）内容</w:t>
            </w:r>
          </w:p>
        </w:tc>
        <w:tc>
          <w:tcPr>
            <w:tcW w:type="dxa" w:w="3322"/>
          </w:tcPr>
          <w:p>
            <w:pPr>
              <w:pStyle w:val="null3"/>
            </w:pPr>
            <w:r>
              <w:rPr>
                <w:rFonts w:ascii="仿宋_GB2312" w:hAnsi="仿宋_GB2312" w:cs="仿宋_GB2312" w:eastAsia="仿宋_GB2312"/>
              </w:rPr>
              <w:t>与磋商内容一致，无重大偏离</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自磋商响应文件递交之日起不少于90个日历天</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未超过磋商最高限价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服务质量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供应商针对本项目提出相应的服务方案，包括：①活动整体方案②活动场地布置方案③设计及物料制作方案 二、评审标准 1、完整性：内容全面，对评审内容中的各项要求有详细描述； 2、可实施性：切合本项目实际情况，实施步骤清晰合理； 3、针对性：内容科学合理，能够紧扣项目实际情况。 三、赋分标准（满分21分） ①活动整体方案：每满足一个评审标准得3分，基本满足一个评审标准得2分，对该评审标准的响应内容模糊或存在缺陷得1分，未提供或完全无法满足该评审标准得0分。满分9分。 ②活动场地布置方案：每满足一个评审标准得2分，基本满足一个评审标准得1分，对该评审标准的响应内容模糊或存在缺陷得0.5分，未提供或完全无法满足该评审标准得0分。满分6分。 ③设计及物料制作方案：每满足一个评审标准得2分，基本满足一个评审标准得1分，对该评审标准的响应内容模糊或存在缺陷得0.5分，未提供或完全无法满足该评审标准得0分。满分6分。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一、评审内容 供应商针对本项目服务内容及服务期限要求，制定完善的进度计划安排。 二、评审标准 1、完整性：内容全面，对评审内容中的各项要求有详细描述； 2、可实施性：切合本项目实际情况，实施步骤清晰合理； 3、针对性：内容科学合理，能够紧扣项目实际情况。 三、赋分标准（满分6分） 进度计划安排内容每满足一个评审标准得2分，基本满足一个评审标准得1分，对该评审标准的响应内容模糊或存在缺陷得0.5分，未提供或完全无法满足该评审标准得0分。满分6分。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针对本项目制定完善的保障措施，包括：①质量保障措施②安全保障措施③进度保障措施 二、评审标准 1、完整性：内容全面，对评审内容中的各项要求有详细描述； 2、可实施性：切合本项目实际情况，实施步骤清晰合理； 3、针对性：内容科学合理，能够紧扣项目实际情况。 三、赋分标准（满分9分） ①质量保障措施：每完全满足一个评审标准得1分，基本满足一个评审标准得0.5分，对该评审标准的响应内容模糊或存在缺陷得0.2分，未提供或完全无法满足该评审标准得0分。满分3分。 ②安全保障措施：每完全满足一个评审标准得1分，基本满足一个评审标准得0.5分，对该评审标准的响应内容模糊或存在缺陷得0.2分，未提供或完全无法满足该评审标准得0分。满分3分。 ③进度保障措施：每完全满足一个评审标准得1分，基本满足一个评审标准得0.5分，对该评审标准的响应内容模糊或存在缺陷得0.2分，未提供或完全无法满足该评审标准得0分。满分3分。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一、评审内容 分析本项目重难点并提出相应的解决策略，包括：①项目重难点分析②解决策略 二、评审标准 1、完整性：内容全面，对评审内容中的各项要求有详细描述； 2、可实施性：切合本项目实际情况，实施步骤清晰合理； 3、针对性：内容科学合理，能够紧扣项目实际情况。 三、赋分标准（满分9分） ①项目重难点分析：每完全满足一个评审标准得1分，基本满足一个评审标准得0.5分，对该评审标准的响应内容模糊或存在缺陷得0.2分，未提供或完全无法满足该评审标准得0分。满分3分。 ②解决策略：每完全满足一个评审标准得2分，基本满足一个评审标准得1分，对该评审标准的响应内容模糊或存在缺陷得0.5分，未提供或完全无法满足该评审标准得0分。满分6分。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供应商针对本项目采购需求，提供相应的人员配备，包括：①团队人员配置明细②团队人员管理方案③团队组织架构 二、评审标准 1、完整性：内容全面，对评审内容中的各项要求有详细描述； 2、可实施性：切合本项目实际情况，实施步骤清晰合理； 3、针对性：内容科学合理，能够紧扣项目实际情况。 三、赋分标准（满分12分） ①团队人员配置明细：每满足一个评审标准得2分，基本满足一个评审标准得1分，对该评审标准的响应内容模糊或存在缺陷得0.5分，未提供或完全无法满足该评审标准得0分。满分6分。 ②团队人员管理方案：每满足一个评审标准得1分，基本满足一个评审标准得0.5分，对该评审标准的响应内容模糊或存在缺陷得0.2分，未提供或完全无法满足该评审标准得0分。满分3分。 ③团队组织架构：每满足一个评审标准得1分，基本满足一个评审标准得0.5分，对该评审标准的响应内容模糊或存在缺陷得0.2分，未提供或完全无法满足该评审标准得0分。满分3分。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供应商说明针对本项目拟投入的相应设备、物料等的配备情况。 拟投入本项目的设备材料配置齐全、说明完善、针对性强、能够满足采购需求得9分； 拟投入本项目的设备材料配置齐全、设备材料说明基本完善、基本满足采购需求得7分； 拟投入本项目的设备材料配置、设备材料说明基本完善、基本满足采购需求得5分； 拟投入本项目的设备材料配置存在缺陷、合理性低得3分；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供应商针对本项目服务内容，提供相应的服务承诺（包括但不限于服务时间，服务质量等内容） 二、评审标准 1、完整性：内容全面，对评审内容中的各项要求有详细描述； 2、可实施性：切合本项目实际情况，实施步骤清晰合理； 3、针对性：内容科学合理，能够紧扣项目实际情况。 三、赋分标准（满分6分） 服务承诺内容每满足一个评审标准得2分，基本满足一个评审标准得1分，对该评审标准的响应内容模糊或存在缺陷得0.5分，未提供或完全无法满足该评审标准得0分。满分6分。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供应商针对本项目采购内容，提出相应的合理化建议。建议全面且从多个角度考虑，合理可行且对项目实施具有较强的指导作用的得7分； 建议基本全面且建议内容基本可行的，得5分； 建议基本全面但实施有难度的，得3分； 建议不全面且实施难度大的，得1分； 未提供或完全脱离项目实际的不得分。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突发情况处理方案</w:t>
            </w:r>
          </w:p>
        </w:tc>
        <w:tc>
          <w:tcPr>
            <w:tcW w:type="dxa" w:w="2492"/>
          </w:tcPr>
          <w:p>
            <w:pPr>
              <w:pStyle w:val="null3"/>
            </w:pPr>
            <w:r>
              <w:rPr>
                <w:rFonts w:ascii="仿宋_GB2312" w:hAnsi="仿宋_GB2312" w:cs="仿宋_GB2312" w:eastAsia="仿宋_GB2312"/>
              </w:rPr>
              <w:t>一、评审内容 供应商针对该项目实施中可能发生的突发情况提供相应的处置方案。 二、评审标准 1、完整性：内容全面，对评审内容中的各项要求有详细描述； 2、可实施性：切合本项目实际情况，实施步骤清晰合理； 3、针对性：内容科学合理，能够紧扣项目实际情况。 三、赋分标准（满分6分） 处置方案内容每完全满足一个评审标准得2分，基本满足一个评审标准得1分，对该评审标准的响应内容模糊或存在缺陷得0.5分，未提供或完全无法满足该评审标准得0分。满分6分。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2022年09月01日至类似项目业绩，每提供1份得2.5分，最高得5分；业绩证明以合同或成交通知书为准，须在磋商响应文件中附合同或成交通知书的扫描件加盖单位公章（日期以合同签订时间或中标（成交）通知书时间为准），弄虚作假者，取消其中标资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满足磋商文件要求且二次响应报价价格最低的报价为评审基准价,其价格分为满分,其他供应商的价格分统一按照下列公式计算:报价得分=（评审基准价／二次报价）×10。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