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AEBDB7">
      <w:pPr>
        <w:rPr>
          <w:rFonts w:hint="eastAsia" w:ascii="黑体" w:eastAsia="黑体"/>
          <w:b/>
          <w:color w:val="auto"/>
          <w:sz w:val="32"/>
          <w:szCs w:val="32"/>
          <w:highlight w:val="none"/>
        </w:rPr>
      </w:pPr>
    </w:p>
    <w:tbl>
      <w:tblPr>
        <w:tblStyle w:val="4"/>
        <w:tblpPr w:leftFromText="180" w:rightFromText="180" w:vertAnchor="text" w:horzAnchor="page" w:tblpX="7976"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tblGrid>
      <w:tr w14:paraId="1AB99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475" w:type="dxa"/>
            <w:noWrap w:val="0"/>
            <w:vAlign w:val="top"/>
          </w:tcPr>
          <w:p w14:paraId="5E0440D6">
            <w:pPr>
              <w:jc w:val="center"/>
              <w:rPr>
                <w:rFonts w:hint="eastAsia" w:ascii="黑体" w:eastAsia="黑体"/>
                <w:b/>
                <w:color w:val="auto"/>
                <w:sz w:val="30"/>
                <w:szCs w:val="30"/>
                <w:highlight w:val="none"/>
              </w:rPr>
            </w:pPr>
            <w:r>
              <w:rPr>
                <w:rFonts w:hint="eastAsia" w:ascii="黑体" w:eastAsia="黑体"/>
                <w:b/>
                <w:color w:val="auto"/>
                <w:sz w:val="30"/>
                <w:szCs w:val="30"/>
                <w:highlight w:val="none"/>
              </w:rPr>
              <w:t>竞争性磋商采购</w:t>
            </w:r>
          </w:p>
        </w:tc>
      </w:tr>
    </w:tbl>
    <w:p w14:paraId="0D669A21">
      <w:pPr>
        <w:rPr>
          <w:rFonts w:hint="eastAsia" w:ascii="黑体" w:eastAsia="黑体"/>
          <w:b/>
          <w:color w:val="auto"/>
          <w:sz w:val="32"/>
          <w:szCs w:val="32"/>
          <w:highlight w:val="none"/>
        </w:rPr>
      </w:pPr>
    </w:p>
    <w:p w14:paraId="369EFDAD">
      <w:pPr>
        <w:rPr>
          <w:rFonts w:hint="eastAsia" w:ascii="黑体" w:eastAsia="黑体"/>
          <w:b/>
          <w:color w:val="auto"/>
          <w:sz w:val="32"/>
          <w:szCs w:val="32"/>
          <w:highlight w:val="none"/>
        </w:rPr>
      </w:pPr>
      <w:r>
        <w:rPr>
          <w:rFonts w:hint="eastAsia" w:ascii="黑体" w:eastAsia="黑体"/>
          <w:b/>
          <w:color w:val="auto"/>
          <w:sz w:val="32"/>
          <w:szCs w:val="32"/>
          <w:highlight w:val="none"/>
        </w:rPr>
        <w:t>采购项目</w:t>
      </w:r>
      <w:r>
        <w:rPr>
          <w:rFonts w:hint="eastAsia" w:cs="宋体"/>
          <w:b/>
          <w:bCs/>
          <w:color w:val="auto"/>
          <w:sz w:val="28"/>
          <w:szCs w:val="28"/>
          <w:highlight w:val="none"/>
        </w:rPr>
        <w:t>（</w:t>
      </w:r>
      <w:r>
        <w:rPr>
          <w:rFonts w:hint="eastAsia" w:ascii="黑体" w:eastAsia="黑体"/>
          <w:b/>
          <w:color w:val="auto"/>
          <w:sz w:val="32"/>
          <w:szCs w:val="32"/>
          <w:highlight w:val="none"/>
        </w:rPr>
        <w:t xml:space="preserve">仅供参考）                  </w:t>
      </w:r>
    </w:p>
    <w:p w14:paraId="06699775">
      <w:pPr>
        <w:jc w:val="center"/>
        <w:rPr>
          <w:rFonts w:hint="eastAsia" w:ascii="黑体" w:eastAsia="黑体"/>
          <w:color w:val="auto"/>
          <w:sz w:val="52"/>
          <w:szCs w:val="52"/>
          <w:highlight w:val="none"/>
        </w:rPr>
      </w:pPr>
    </w:p>
    <w:p w14:paraId="4CFEEA12">
      <w:pPr>
        <w:pStyle w:val="3"/>
        <w:rPr>
          <w:rFonts w:hint="eastAsia"/>
          <w:color w:val="auto"/>
          <w:highlight w:val="none"/>
        </w:rPr>
      </w:pPr>
    </w:p>
    <w:p w14:paraId="28E5C29B">
      <w:pPr>
        <w:jc w:val="center"/>
        <w:rPr>
          <w:rFonts w:hint="eastAsia" w:ascii="黑体" w:eastAsia="黑体"/>
          <w:color w:val="auto"/>
          <w:sz w:val="52"/>
          <w:szCs w:val="52"/>
          <w:highlight w:val="none"/>
        </w:rPr>
      </w:pPr>
    </w:p>
    <w:p w14:paraId="7679B3FD">
      <w:pPr>
        <w:jc w:val="center"/>
        <w:rPr>
          <w:rFonts w:hint="eastAsia"/>
          <w:b/>
          <w:snapToGrid w:val="0"/>
          <w:color w:val="auto"/>
          <w:sz w:val="48"/>
          <w:szCs w:val="48"/>
          <w:highlight w:val="none"/>
          <w:u w:val="single"/>
        </w:rPr>
      </w:pPr>
    </w:p>
    <w:p w14:paraId="31E6DA4F">
      <w:pPr>
        <w:jc w:val="center"/>
        <w:rPr>
          <w:rFonts w:hint="eastAsia"/>
          <w:b/>
          <w:snapToGrid w:val="0"/>
          <w:color w:val="auto"/>
          <w:sz w:val="48"/>
          <w:szCs w:val="48"/>
          <w:highlight w:val="none"/>
          <w:u w:val="single"/>
        </w:rPr>
      </w:pPr>
    </w:p>
    <w:p w14:paraId="193584BF">
      <w:pPr>
        <w:jc w:val="center"/>
        <w:rPr>
          <w:rFonts w:hint="eastAsia"/>
          <w:b/>
          <w:snapToGrid w:val="0"/>
          <w:color w:val="auto"/>
          <w:sz w:val="48"/>
          <w:szCs w:val="48"/>
          <w:highlight w:val="none"/>
          <w:u w:val="single"/>
        </w:rPr>
      </w:pPr>
      <w:r>
        <w:rPr>
          <w:rFonts w:hint="eastAsia"/>
          <w:b/>
          <w:snapToGrid w:val="0"/>
          <w:color w:val="auto"/>
          <w:sz w:val="48"/>
          <w:szCs w:val="48"/>
          <w:highlight w:val="none"/>
          <w:u w:val="single"/>
          <w:lang w:eastAsia="zh-CN"/>
        </w:rPr>
        <w:t>（</w:t>
      </w:r>
      <w:r>
        <w:rPr>
          <w:rFonts w:hint="eastAsia"/>
          <w:b/>
          <w:snapToGrid w:val="0"/>
          <w:color w:val="auto"/>
          <w:sz w:val="48"/>
          <w:szCs w:val="48"/>
          <w:highlight w:val="none"/>
          <w:u w:val="single"/>
        </w:rPr>
        <w:t>项目名称</w:t>
      </w:r>
      <w:r>
        <w:rPr>
          <w:rFonts w:hint="eastAsia"/>
          <w:b/>
          <w:snapToGrid w:val="0"/>
          <w:color w:val="auto"/>
          <w:sz w:val="48"/>
          <w:szCs w:val="48"/>
          <w:highlight w:val="none"/>
          <w:u w:val="single"/>
          <w:lang w:eastAsia="zh-CN"/>
        </w:rPr>
        <w:t>）</w:t>
      </w:r>
    </w:p>
    <w:p w14:paraId="7EF32E60">
      <w:pPr>
        <w:jc w:val="center"/>
        <w:outlineLvl w:val="1"/>
        <w:rPr>
          <w:rFonts w:hint="eastAsia" w:ascii="黑体" w:eastAsia="黑体"/>
          <w:b/>
          <w:color w:val="auto"/>
          <w:sz w:val="72"/>
          <w:szCs w:val="72"/>
          <w:highlight w:val="none"/>
        </w:rPr>
      </w:pPr>
      <w:bookmarkStart w:id="0" w:name="_Toc22946"/>
      <w:bookmarkStart w:id="1" w:name="_Toc1469"/>
      <w:bookmarkStart w:id="2" w:name="_Toc1475"/>
      <w:bookmarkStart w:id="3" w:name="_Toc9646"/>
      <w:bookmarkStart w:id="4" w:name="_Toc5552"/>
      <w:r>
        <w:rPr>
          <w:rFonts w:hint="eastAsia" w:ascii="黑体" w:eastAsia="黑体"/>
          <w:b/>
          <w:color w:val="auto"/>
          <w:sz w:val="72"/>
          <w:szCs w:val="72"/>
          <w:highlight w:val="none"/>
        </w:rPr>
        <w:t>服务合同</w:t>
      </w:r>
      <w:bookmarkEnd w:id="0"/>
      <w:bookmarkEnd w:id="1"/>
      <w:bookmarkEnd w:id="2"/>
      <w:bookmarkEnd w:id="3"/>
      <w:bookmarkEnd w:id="4"/>
    </w:p>
    <w:p w14:paraId="07A4624A">
      <w:pPr>
        <w:jc w:val="center"/>
        <w:rPr>
          <w:rFonts w:hint="eastAsia" w:ascii="黑体" w:eastAsia="黑体"/>
          <w:color w:val="auto"/>
          <w:sz w:val="30"/>
          <w:szCs w:val="30"/>
          <w:highlight w:val="none"/>
        </w:rPr>
      </w:pPr>
      <w:r>
        <w:rPr>
          <w:rFonts w:hint="eastAsia" w:ascii="黑体" w:eastAsia="黑体"/>
          <w:color w:val="auto"/>
          <w:sz w:val="30"/>
          <w:szCs w:val="30"/>
          <w:highlight w:val="none"/>
        </w:rPr>
        <w:t xml:space="preserve">（项目编号：      </w:t>
      </w:r>
      <w:r>
        <w:rPr>
          <w:rFonts w:hint="eastAsia" w:ascii="仿宋" w:eastAsia="仿宋"/>
          <w:color w:val="auto"/>
          <w:sz w:val="28"/>
          <w:szCs w:val="28"/>
          <w:highlight w:val="none"/>
        </w:rPr>
        <w:t>）</w:t>
      </w:r>
    </w:p>
    <w:p w14:paraId="40005AF7">
      <w:pPr>
        <w:jc w:val="center"/>
        <w:rPr>
          <w:rFonts w:hint="eastAsia" w:ascii="黑体" w:eastAsia="黑体"/>
          <w:color w:val="auto"/>
          <w:sz w:val="30"/>
          <w:szCs w:val="30"/>
          <w:highlight w:val="none"/>
        </w:rPr>
      </w:pPr>
    </w:p>
    <w:p w14:paraId="35EE5414">
      <w:pPr>
        <w:jc w:val="center"/>
        <w:rPr>
          <w:rFonts w:hint="eastAsia" w:ascii="黑体" w:eastAsia="黑体"/>
          <w:color w:val="auto"/>
          <w:sz w:val="30"/>
          <w:szCs w:val="30"/>
          <w:highlight w:val="none"/>
        </w:rPr>
      </w:pPr>
    </w:p>
    <w:p w14:paraId="710277F3">
      <w:pPr>
        <w:jc w:val="center"/>
        <w:rPr>
          <w:rFonts w:hint="eastAsia" w:ascii="黑体" w:eastAsia="黑体"/>
          <w:color w:val="auto"/>
          <w:sz w:val="30"/>
          <w:szCs w:val="30"/>
          <w:highlight w:val="none"/>
        </w:rPr>
      </w:pPr>
    </w:p>
    <w:p w14:paraId="163B074D">
      <w:pPr>
        <w:jc w:val="center"/>
        <w:rPr>
          <w:rFonts w:hint="eastAsia" w:ascii="黑体" w:eastAsia="黑体"/>
          <w:color w:val="auto"/>
          <w:sz w:val="30"/>
          <w:szCs w:val="30"/>
          <w:highlight w:val="none"/>
        </w:rPr>
      </w:pPr>
    </w:p>
    <w:p w14:paraId="70CFFF58">
      <w:pPr>
        <w:jc w:val="center"/>
        <w:rPr>
          <w:rFonts w:hint="eastAsia" w:ascii="黑体" w:eastAsia="黑体"/>
          <w:color w:val="auto"/>
          <w:sz w:val="30"/>
          <w:szCs w:val="30"/>
          <w:highlight w:val="none"/>
        </w:rPr>
      </w:pPr>
    </w:p>
    <w:p w14:paraId="04159D9C">
      <w:pPr>
        <w:ind w:firstLine="2080" w:firstLineChars="650"/>
        <w:rPr>
          <w:rFonts w:hint="eastAsia" w:ascii="黑体" w:eastAsia="黑体"/>
          <w:color w:val="auto"/>
          <w:sz w:val="32"/>
          <w:szCs w:val="32"/>
          <w:highlight w:val="none"/>
        </w:rPr>
      </w:pPr>
      <w:r>
        <w:rPr>
          <w:rFonts w:hint="eastAsia" w:ascii="黑体" w:eastAsia="黑体"/>
          <w:color w:val="auto"/>
          <w:sz w:val="32"/>
          <w:szCs w:val="32"/>
          <w:highlight w:val="none"/>
        </w:rPr>
        <w:t xml:space="preserve">甲  方： </w:t>
      </w:r>
    </w:p>
    <w:p w14:paraId="7D889BEE">
      <w:pPr>
        <w:tabs>
          <w:tab w:val="left" w:pos="480"/>
        </w:tabs>
        <w:ind w:firstLine="640" w:firstLineChars="200"/>
        <w:rPr>
          <w:rFonts w:hint="eastAsia" w:ascii="黑体" w:eastAsia="黑体"/>
          <w:color w:val="auto"/>
          <w:sz w:val="32"/>
          <w:szCs w:val="32"/>
          <w:highlight w:val="none"/>
        </w:rPr>
      </w:pPr>
      <w:r>
        <w:rPr>
          <w:rFonts w:hint="eastAsia" w:ascii="黑体" w:eastAsia="黑体"/>
          <w:color w:val="auto"/>
          <w:sz w:val="32"/>
          <w:szCs w:val="32"/>
          <w:highlight w:val="none"/>
        </w:rPr>
        <w:t xml:space="preserve">         乙  方：</w:t>
      </w:r>
    </w:p>
    <w:p w14:paraId="038753ED">
      <w:pPr>
        <w:jc w:val="center"/>
        <w:rPr>
          <w:rFonts w:hint="eastAsia" w:ascii="黑体" w:eastAsia="黑体"/>
          <w:color w:val="auto"/>
          <w:sz w:val="30"/>
          <w:szCs w:val="30"/>
          <w:highlight w:val="none"/>
        </w:rPr>
      </w:pPr>
    </w:p>
    <w:p w14:paraId="734CF540">
      <w:pPr>
        <w:jc w:val="center"/>
        <w:rPr>
          <w:rFonts w:hint="eastAsia" w:ascii="黑体" w:eastAsia="黑体"/>
          <w:color w:val="auto"/>
          <w:sz w:val="32"/>
          <w:szCs w:val="32"/>
          <w:highlight w:val="none"/>
        </w:rPr>
      </w:pPr>
      <w:r>
        <w:rPr>
          <w:rFonts w:hint="eastAsia" w:ascii="黑体" w:eastAsia="黑体"/>
          <w:color w:val="auto"/>
          <w:sz w:val="32"/>
          <w:szCs w:val="32"/>
          <w:highlight w:val="none"/>
        </w:rPr>
        <w:t xml:space="preserve">  年  月   日</w:t>
      </w:r>
    </w:p>
    <w:p w14:paraId="2CF10061">
      <w:pPr>
        <w:jc w:val="center"/>
        <w:outlineLvl w:val="0"/>
        <w:rPr>
          <w:rFonts w:hint="eastAsia" w:ascii="黑体" w:eastAsia="黑体"/>
          <w:b/>
          <w:color w:val="auto"/>
          <w:sz w:val="36"/>
          <w:szCs w:val="36"/>
          <w:highlight w:val="none"/>
        </w:rPr>
      </w:pPr>
      <w:r>
        <w:rPr>
          <w:rFonts w:hint="eastAsia" w:ascii="黑体" w:eastAsia="黑体"/>
          <w:b/>
          <w:color w:val="auto"/>
          <w:sz w:val="36"/>
          <w:szCs w:val="36"/>
          <w:highlight w:val="none"/>
        </w:rPr>
        <w:br w:type="page"/>
      </w:r>
      <w:bookmarkStart w:id="5" w:name="_Toc13995"/>
      <w:bookmarkStart w:id="6" w:name="_Toc15417"/>
      <w:bookmarkStart w:id="7" w:name="_Toc26850"/>
      <w:r>
        <w:rPr>
          <w:rFonts w:hint="eastAsia" w:ascii="黑体" w:eastAsia="黑体"/>
          <w:b/>
          <w:color w:val="auto"/>
          <w:sz w:val="36"/>
          <w:szCs w:val="36"/>
          <w:highlight w:val="none"/>
        </w:rPr>
        <w:t>服 务 合 同</w:t>
      </w:r>
      <w:bookmarkEnd w:id="5"/>
      <w:bookmarkEnd w:id="6"/>
      <w:bookmarkEnd w:id="7"/>
    </w:p>
    <w:p w14:paraId="616BAA90">
      <w:pPr>
        <w:spacing w:line="360" w:lineRule="auto"/>
        <w:rPr>
          <w:rFonts w:hint="eastAsia" w:eastAsia="宋体" w:cs="宋体"/>
          <w:color w:val="auto"/>
          <w:szCs w:val="21"/>
          <w:highlight w:val="none"/>
          <w:u w:val="single"/>
          <w:lang w:val="en-US" w:eastAsia="zh-CN"/>
        </w:rPr>
      </w:pPr>
      <w:r>
        <w:rPr>
          <w:rFonts w:hint="eastAsia" w:cs="宋体"/>
          <w:color w:val="auto"/>
          <w:szCs w:val="21"/>
          <w:highlight w:val="none"/>
        </w:rPr>
        <w:t>甲方：</w:t>
      </w:r>
      <w:r>
        <w:rPr>
          <w:rFonts w:hint="eastAsia" w:cs="宋体"/>
          <w:color w:val="auto"/>
          <w:szCs w:val="21"/>
          <w:highlight w:val="none"/>
          <w:u w:val="single"/>
        </w:rPr>
        <w:t xml:space="preserve">           </w:t>
      </w:r>
      <w:r>
        <w:rPr>
          <w:rFonts w:hint="eastAsia" w:cs="宋体"/>
          <w:color w:val="auto"/>
          <w:szCs w:val="21"/>
          <w:highlight w:val="none"/>
          <w:u w:val="single"/>
          <w:lang w:val="en-US" w:eastAsia="zh-CN"/>
        </w:rPr>
        <w:t xml:space="preserve">   </w:t>
      </w:r>
      <w:r>
        <w:rPr>
          <w:rFonts w:hint="eastAsia" w:cs="宋体"/>
          <w:color w:val="auto"/>
          <w:szCs w:val="21"/>
          <w:highlight w:val="none"/>
          <w:u w:val="single"/>
        </w:rPr>
        <w:t xml:space="preserve"> </w:t>
      </w:r>
      <w:r>
        <w:rPr>
          <w:rFonts w:hint="eastAsia" w:cs="宋体"/>
          <w:color w:val="auto"/>
          <w:szCs w:val="21"/>
          <w:highlight w:val="none"/>
          <w:u w:val="single"/>
          <w:lang w:val="en-US" w:eastAsia="zh-CN"/>
        </w:rPr>
        <w:t xml:space="preserve"> </w:t>
      </w:r>
    </w:p>
    <w:p w14:paraId="39BEC210">
      <w:pPr>
        <w:spacing w:line="360" w:lineRule="auto"/>
        <w:rPr>
          <w:rFonts w:hint="eastAsia" w:eastAsia="宋体" w:cs="宋体"/>
          <w:color w:val="auto"/>
          <w:szCs w:val="21"/>
          <w:highlight w:val="none"/>
          <w:lang w:val="en-US" w:eastAsia="zh-CN"/>
        </w:rPr>
      </w:pPr>
      <w:r>
        <w:rPr>
          <w:rFonts w:hint="eastAsia" w:cs="宋体"/>
          <w:color w:val="auto"/>
          <w:szCs w:val="21"/>
          <w:highlight w:val="none"/>
        </w:rPr>
        <w:t>乙方：</w:t>
      </w:r>
      <w:r>
        <w:rPr>
          <w:rFonts w:hint="eastAsia" w:cs="宋体"/>
          <w:color w:val="auto"/>
          <w:szCs w:val="21"/>
          <w:highlight w:val="none"/>
          <w:u w:val="single"/>
        </w:rPr>
        <w:t xml:space="preserve">          </w:t>
      </w:r>
      <w:r>
        <w:rPr>
          <w:rFonts w:hint="eastAsia" w:cs="宋体"/>
          <w:color w:val="auto"/>
          <w:szCs w:val="21"/>
          <w:highlight w:val="none"/>
          <w:u w:val="single"/>
          <w:lang w:val="en-US" w:eastAsia="zh-CN"/>
        </w:rPr>
        <w:t xml:space="preserve">   </w:t>
      </w:r>
      <w:r>
        <w:rPr>
          <w:rFonts w:hint="eastAsia" w:cs="宋体"/>
          <w:color w:val="auto"/>
          <w:szCs w:val="21"/>
          <w:highlight w:val="none"/>
          <w:u w:val="single"/>
        </w:rPr>
        <w:t xml:space="preserve">  </w:t>
      </w:r>
      <w:r>
        <w:rPr>
          <w:rFonts w:hint="eastAsia" w:cs="宋体"/>
          <w:color w:val="auto"/>
          <w:szCs w:val="21"/>
          <w:highlight w:val="none"/>
          <w:u w:val="single"/>
          <w:lang w:val="en-US" w:eastAsia="zh-CN"/>
        </w:rPr>
        <w:t xml:space="preserve"> </w:t>
      </w:r>
    </w:p>
    <w:p w14:paraId="12C6BB84">
      <w:pPr>
        <w:spacing w:line="360" w:lineRule="auto"/>
        <w:ind w:firstLine="480" w:firstLineChars="200"/>
        <w:rPr>
          <w:rFonts w:hint="eastAsia" w:cs="宋体"/>
          <w:color w:val="auto"/>
          <w:szCs w:val="21"/>
          <w:highlight w:val="none"/>
        </w:rPr>
      </w:pPr>
      <w:r>
        <w:rPr>
          <w:rFonts w:hint="eastAsia" w:cs="宋体"/>
          <w:color w:val="auto"/>
          <w:szCs w:val="21"/>
          <w:highlight w:val="none"/>
        </w:rPr>
        <w:t>根据《中华人民共和国民法典》与项目行业有关的法律法规，以及本项目相关采购要求的规定，合同双方就乙方向</w:t>
      </w:r>
      <w:r>
        <w:rPr>
          <w:rFonts w:hint="eastAsia" w:cs="宋体"/>
          <w:color w:val="auto"/>
          <w:szCs w:val="21"/>
          <w:highlight w:val="none"/>
          <w:lang w:eastAsia="zh-CN"/>
        </w:rPr>
        <w:t>甲方</w:t>
      </w:r>
      <w:r>
        <w:rPr>
          <w:rFonts w:hint="eastAsia" w:cs="宋体"/>
          <w:color w:val="auto"/>
          <w:szCs w:val="21"/>
          <w:highlight w:val="none"/>
        </w:rPr>
        <w:t>提供</w:t>
      </w:r>
      <w:r>
        <w:rPr>
          <w:rFonts w:hint="eastAsia" w:cs="宋体"/>
          <w:color w:val="auto"/>
          <w:szCs w:val="21"/>
          <w:highlight w:val="none"/>
          <w:u w:val="single"/>
          <w:lang w:val="en-US" w:eastAsia="zh-CN"/>
        </w:rPr>
        <w:t xml:space="preserve">       </w:t>
      </w:r>
      <w:r>
        <w:rPr>
          <w:rFonts w:hint="eastAsia" w:cs="宋体"/>
          <w:color w:val="auto"/>
          <w:szCs w:val="21"/>
          <w:highlight w:val="none"/>
          <w:lang w:val="en-US" w:eastAsia="zh-CN"/>
        </w:rPr>
        <w:t>服务项目</w:t>
      </w:r>
      <w:r>
        <w:rPr>
          <w:rFonts w:hint="eastAsia" w:cs="宋体"/>
          <w:color w:val="auto"/>
          <w:szCs w:val="21"/>
          <w:highlight w:val="none"/>
        </w:rPr>
        <w:t>事宜，经协商达成一致，确立本合同。</w:t>
      </w:r>
    </w:p>
    <w:p w14:paraId="38B347E1">
      <w:pPr>
        <w:numPr>
          <w:ilvl w:val="0"/>
          <w:numId w:val="1"/>
        </w:numPr>
        <w:tabs>
          <w:tab w:val="left" w:pos="480"/>
        </w:tabs>
        <w:spacing w:line="360" w:lineRule="auto"/>
        <w:outlineLvl w:val="1"/>
        <w:rPr>
          <w:rFonts w:hint="eastAsia"/>
        </w:rPr>
      </w:pPr>
      <w:bookmarkStart w:id="8" w:name="_Toc6138"/>
      <w:bookmarkStart w:id="9" w:name="_Toc22731"/>
      <w:bookmarkStart w:id="10" w:name="_Toc15128"/>
      <w:bookmarkStart w:id="11" w:name="_Toc15783"/>
      <w:bookmarkStart w:id="12" w:name="_Toc4893"/>
      <w:r>
        <w:rPr>
          <w:rFonts w:hint="eastAsia" w:cs="宋体"/>
          <w:b/>
          <w:color w:val="auto"/>
          <w:szCs w:val="21"/>
          <w:highlight w:val="none"/>
        </w:rPr>
        <w:t>合同标的物内容、数量及单价</w:t>
      </w:r>
      <w:bookmarkEnd w:id="8"/>
      <w:bookmarkEnd w:id="9"/>
      <w:bookmarkEnd w:id="10"/>
      <w:bookmarkEnd w:id="11"/>
      <w:bookmarkEnd w:id="12"/>
    </w:p>
    <w:tbl>
      <w:tblPr>
        <w:tblStyle w:val="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101"/>
        <w:gridCol w:w="1842"/>
        <w:gridCol w:w="2211"/>
        <w:gridCol w:w="1719"/>
        <w:gridCol w:w="1649"/>
      </w:tblGrid>
      <w:tr w14:paraId="4373B1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top"/>
          </w:tcPr>
          <w:p w14:paraId="344C8DD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 w:hAnsi="仿宋" w:eastAsia="仿宋" w:cs="Times New Roman"/>
                <w:sz w:val="24"/>
                <w:szCs w:val="24"/>
              </w:rPr>
            </w:pPr>
            <w:r>
              <w:rPr>
                <w:rFonts w:hint="eastAsia" w:ascii="仿宋" w:hAnsi="仿宋" w:eastAsia="仿宋" w:cs="Times New Roman"/>
                <w:sz w:val="24"/>
                <w:szCs w:val="24"/>
              </w:rPr>
              <w:t>序号</w:t>
            </w:r>
          </w:p>
        </w:tc>
        <w:tc>
          <w:tcPr>
            <w:tcW w:w="1842" w:type="dxa"/>
            <w:noWrap w:val="0"/>
            <w:vAlign w:val="top"/>
          </w:tcPr>
          <w:p w14:paraId="29310F0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 w:hAnsi="仿宋" w:eastAsia="仿宋" w:cs="Times New Roman"/>
                <w:sz w:val="24"/>
                <w:szCs w:val="24"/>
              </w:rPr>
            </w:pPr>
            <w:r>
              <w:rPr>
                <w:rFonts w:hint="eastAsia" w:ascii="仿宋" w:hAnsi="仿宋" w:eastAsia="仿宋" w:cs="Times New Roman"/>
                <w:sz w:val="24"/>
                <w:szCs w:val="24"/>
              </w:rPr>
              <w:t>服务内容</w:t>
            </w:r>
          </w:p>
        </w:tc>
        <w:tc>
          <w:tcPr>
            <w:tcW w:w="2211" w:type="dxa"/>
            <w:noWrap w:val="0"/>
            <w:vAlign w:val="top"/>
          </w:tcPr>
          <w:p w14:paraId="0FA2EE1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 w:hAnsi="仿宋" w:eastAsia="仿宋" w:cs="Times New Roman"/>
                <w:sz w:val="24"/>
                <w:szCs w:val="24"/>
              </w:rPr>
            </w:pPr>
            <w:r>
              <w:rPr>
                <w:rFonts w:hint="eastAsia" w:ascii="仿宋" w:hAnsi="仿宋" w:eastAsia="仿宋" w:cs="Times New Roman"/>
                <w:sz w:val="24"/>
                <w:szCs w:val="24"/>
              </w:rPr>
              <w:t>服务期限</w:t>
            </w:r>
          </w:p>
        </w:tc>
        <w:tc>
          <w:tcPr>
            <w:tcW w:w="1719" w:type="dxa"/>
            <w:noWrap w:val="0"/>
            <w:vAlign w:val="top"/>
          </w:tcPr>
          <w:p w14:paraId="4C9008D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仿宋" w:hAnsi="仿宋" w:eastAsia="仿宋" w:cs="Times New Roman"/>
                <w:sz w:val="24"/>
                <w:szCs w:val="24"/>
              </w:rPr>
            </w:pPr>
            <w:r>
              <w:rPr>
                <w:rFonts w:hint="eastAsia" w:ascii="仿宋" w:hAnsi="仿宋" w:eastAsia="仿宋" w:cs="Times New Roman"/>
                <w:sz w:val="24"/>
                <w:szCs w:val="24"/>
              </w:rPr>
              <w:t>相关要求</w:t>
            </w:r>
          </w:p>
        </w:tc>
        <w:tc>
          <w:tcPr>
            <w:tcW w:w="1649" w:type="dxa"/>
            <w:noWrap w:val="0"/>
            <w:vAlign w:val="top"/>
          </w:tcPr>
          <w:p w14:paraId="6059AC5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Times New Roman"/>
                <w:sz w:val="24"/>
                <w:szCs w:val="24"/>
              </w:rPr>
            </w:pPr>
            <w:r>
              <w:rPr>
                <w:rFonts w:hint="eastAsia" w:ascii="仿宋" w:hAnsi="仿宋" w:eastAsia="仿宋" w:cs="Times New Roman"/>
                <w:sz w:val="24"/>
                <w:szCs w:val="24"/>
              </w:rPr>
              <w:t>备注</w:t>
            </w:r>
          </w:p>
        </w:tc>
      </w:tr>
      <w:tr w14:paraId="067265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top"/>
          </w:tcPr>
          <w:p w14:paraId="70C499BC">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842" w:type="dxa"/>
            <w:noWrap w:val="0"/>
            <w:vAlign w:val="top"/>
          </w:tcPr>
          <w:p w14:paraId="6F2BF42A">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2211" w:type="dxa"/>
            <w:noWrap w:val="0"/>
            <w:vAlign w:val="top"/>
          </w:tcPr>
          <w:p w14:paraId="090863AC">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719" w:type="dxa"/>
            <w:noWrap w:val="0"/>
            <w:vAlign w:val="top"/>
          </w:tcPr>
          <w:p w14:paraId="262FD79A">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649" w:type="dxa"/>
            <w:noWrap w:val="0"/>
            <w:vAlign w:val="top"/>
          </w:tcPr>
          <w:p w14:paraId="7BEF328A">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r>
      <w:tr w14:paraId="0EE60F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top"/>
          </w:tcPr>
          <w:p w14:paraId="66551232">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842" w:type="dxa"/>
            <w:noWrap w:val="0"/>
            <w:vAlign w:val="top"/>
          </w:tcPr>
          <w:p w14:paraId="15A9DA10">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2211" w:type="dxa"/>
            <w:noWrap w:val="0"/>
            <w:vAlign w:val="top"/>
          </w:tcPr>
          <w:p w14:paraId="224863F6">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bookmarkStart w:id="76" w:name="_GoBack"/>
            <w:bookmarkEnd w:id="76"/>
          </w:p>
        </w:tc>
        <w:tc>
          <w:tcPr>
            <w:tcW w:w="1719" w:type="dxa"/>
            <w:noWrap w:val="0"/>
            <w:vAlign w:val="top"/>
          </w:tcPr>
          <w:p w14:paraId="691CCE12">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c>
          <w:tcPr>
            <w:tcW w:w="1649" w:type="dxa"/>
            <w:noWrap w:val="0"/>
            <w:vAlign w:val="top"/>
          </w:tcPr>
          <w:p w14:paraId="1B2C59B3">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cs="Times New Roman"/>
                <w:sz w:val="24"/>
                <w:szCs w:val="24"/>
              </w:rPr>
            </w:pPr>
          </w:p>
        </w:tc>
      </w:tr>
    </w:tbl>
    <w:p w14:paraId="2B54C920">
      <w:pPr>
        <w:tabs>
          <w:tab w:val="left" w:pos="480"/>
        </w:tabs>
        <w:spacing w:line="360" w:lineRule="auto"/>
        <w:outlineLvl w:val="1"/>
        <w:rPr>
          <w:rFonts w:hint="eastAsia" w:cs="宋体"/>
          <w:b/>
          <w:color w:val="auto"/>
          <w:szCs w:val="21"/>
          <w:highlight w:val="none"/>
        </w:rPr>
      </w:pPr>
      <w:bookmarkStart w:id="13" w:name="_Toc1496"/>
      <w:bookmarkStart w:id="14" w:name="_Toc29609"/>
      <w:bookmarkStart w:id="15" w:name="_Toc23203"/>
      <w:bookmarkStart w:id="16" w:name="_Toc12144"/>
      <w:bookmarkStart w:id="17" w:name="_Toc2520"/>
      <w:r>
        <w:rPr>
          <w:rFonts w:hint="eastAsia" w:cs="宋体"/>
          <w:b/>
          <w:color w:val="auto"/>
          <w:szCs w:val="21"/>
          <w:highlight w:val="none"/>
        </w:rPr>
        <w:t>二、合同价款</w:t>
      </w:r>
      <w:bookmarkEnd w:id="13"/>
      <w:bookmarkEnd w:id="14"/>
      <w:bookmarkEnd w:id="15"/>
      <w:bookmarkEnd w:id="16"/>
      <w:bookmarkEnd w:id="17"/>
    </w:p>
    <w:p w14:paraId="5B9AAD04">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（一）合同总价款为人民币（大写）</w:t>
      </w:r>
      <w:r>
        <w:rPr>
          <w:rFonts w:hint="eastAsia" w:cs="宋体"/>
          <w:color w:val="auto"/>
          <w:szCs w:val="21"/>
          <w:highlight w:val="none"/>
          <w:u w:val="single"/>
        </w:rPr>
        <w:t xml:space="preserve">       </w:t>
      </w:r>
      <w:r>
        <w:rPr>
          <w:rFonts w:hint="eastAsia" w:cs="宋体"/>
          <w:color w:val="auto"/>
          <w:szCs w:val="21"/>
          <w:highlight w:val="none"/>
        </w:rPr>
        <w:t>元整（¥</w:t>
      </w:r>
      <w:r>
        <w:rPr>
          <w:rFonts w:hint="eastAsia" w:cs="宋体"/>
          <w:color w:val="auto"/>
          <w:szCs w:val="21"/>
          <w:highlight w:val="none"/>
          <w:u w:val="single"/>
        </w:rPr>
        <w:t xml:space="preserve">     </w:t>
      </w:r>
      <w:r>
        <w:rPr>
          <w:rFonts w:hint="eastAsia" w:cs="宋体"/>
          <w:color w:val="auto"/>
          <w:szCs w:val="21"/>
          <w:highlight w:val="none"/>
        </w:rPr>
        <w:t>元）。</w:t>
      </w:r>
    </w:p>
    <w:p w14:paraId="2BA6644C">
      <w:pPr>
        <w:tabs>
          <w:tab w:val="left" w:pos="480"/>
        </w:tabs>
        <w:spacing w:line="360" w:lineRule="auto"/>
        <w:ind w:firstLine="480" w:firstLineChars="200"/>
        <w:rPr>
          <w:rFonts w:hint="eastAsia" w:eastAsia="宋体" w:cs="宋体"/>
          <w:color w:val="auto"/>
          <w:szCs w:val="21"/>
          <w:highlight w:val="none"/>
          <w:lang w:eastAsia="zh-CN"/>
        </w:rPr>
      </w:pPr>
      <w:r>
        <w:rPr>
          <w:rFonts w:hint="eastAsia" w:cs="宋体"/>
          <w:color w:val="auto"/>
          <w:szCs w:val="21"/>
          <w:highlight w:val="none"/>
        </w:rPr>
        <w:t>（二）合同总价：</w:t>
      </w:r>
      <w:r>
        <w:rPr>
          <w:rFonts w:hint="eastAsia"/>
          <w:color w:val="auto"/>
          <w:szCs w:val="24"/>
          <w:highlight w:val="none"/>
        </w:rPr>
        <w:t>完成本</w:t>
      </w:r>
      <w:r>
        <w:rPr>
          <w:rFonts w:hint="eastAsia"/>
          <w:color w:val="auto"/>
          <w:szCs w:val="24"/>
          <w:highlight w:val="none"/>
          <w:lang w:eastAsia="zh-CN"/>
        </w:rPr>
        <w:t>活动项目</w:t>
      </w:r>
      <w:r>
        <w:rPr>
          <w:rFonts w:hint="eastAsia"/>
          <w:color w:val="auto"/>
          <w:szCs w:val="24"/>
          <w:highlight w:val="none"/>
        </w:rPr>
        <w:t>所要求的全部服务的所有费用</w:t>
      </w:r>
      <w:r>
        <w:rPr>
          <w:rFonts w:hint="eastAsia"/>
          <w:color w:val="auto"/>
          <w:szCs w:val="24"/>
          <w:highlight w:val="none"/>
          <w:lang w:eastAsia="zh-CN"/>
        </w:rPr>
        <w:t>。</w:t>
      </w:r>
    </w:p>
    <w:p w14:paraId="3A4B865B">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（三）合同总价一次性包死，不受市场价格变化因素的影响。</w:t>
      </w:r>
    </w:p>
    <w:p w14:paraId="72BA28BD">
      <w:pPr>
        <w:tabs>
          <w:tab w:val="left" w:pos="480"/>
        </w:tabs>
        <w:spacing w:line="360" w:lineRule="auto"/>
        <w:outlineLvl w:val="1"/>
        <w:rPr>
          <w:rFonts w:hint="eastAsia" w:cs="宋体"/>
          <w:b/>
          <w:color w:val="auto"/>
          <w:szCs w:val="21"/>
          <w:highlight w:val="none"/>
        </w:rPr>
      </w:pPr>
      <w:bookmarkStart w:id="18" w:name="_Toc796"/>
      <w:bookmarkStart w:id="19" w:name="_Toc22280"/>
      <w:bookmarkStart w:id="20" w:name="_Toc11349"/>
      <w:bookmarkStart w:id="21" w:name="_Toc8221"/>
      <w:bookmarkStart w:id="22" w:name="_Toc17511"/>
      <w:r>
        <w:rPr>
          <w:rFonts w:hint="eastAsia" w:cs="宋体"/>
          <w:b/>
          <w:color w:val="auto"/>
          <w:szCs w:val="21"/>
          <w:highlight w:val="none"/>
        </w:rPr>
        <w:t>三、款项结算</w:t>
      </w:r>
      <w:bookmarkEnd w:id="18"/>
      <w:bookmarkEnd w:id="19"/>
      <w:bookmarkEnd w:id="20"/>
      <w:bookmarkEnd w:id="21"/>
      <w:bookmarkEnd w:id="22"/>
    </w:p>
    <w:p w14:paraId="7DECA524">
      <w:pPr>
        <w:spacing w:line="360" w:lineRule="auto"/>
        <w:ind w:firstLine="480" w:firstLineChars="200"/>
        <w:rPr>
          <w:rFonts w:hint="eastAsia" w:cs="宋体"/>
          <w:color w:val="auto"/>
          <w:szCs w:val="21"/>
          <w:highlight w:val="none"/>
        </w:rPr>
      </w:pPr>
      <w:r>
        <w:rPr>
          <w:rFonts w:hint="eastAsia" w:cs="宋体"/>
          <w:color w:val="auto"/>
          <w:szCs w:val="21"/>
          <w:highlight w:val="none"/>
        </w:rPr>
        <w:t>（一）</w:t>
      </w:r>
      <w:r>
        <w:rPr>
          <w:rFonts w:hint="eastAsia" w:cs="宋体"/>
          <w:bCs/>
          <w:color w:val="auto"/>
          <w:szCs w:val="21"/>
          <w:highlight w:val="none"/>
        </w:rPr>
        <w:t>合同签订后，由采购人负责结算。</w:t>
      </w:r>
    </w:p>
    <w:p w14:paraId="7EA82301">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（二）支付方式：银行转账。</w:t>
      </w:r>
      <w:r>
        <w:rPr>
          <w:rFonts w:hint="eastAsia" w:cs="宋体"/>
          <w:color w:val="auto"/>
          <w:szCs w:val="24"/>
          <w:highlight w:val="none"/>
        </w:rPr>
        <w:t>在付款前，供应商必须开具全额发票给采购人</w:t>
      </w:r>
      <w:r>
        <w:rPr>
          <w:rFonts w:hint="eastAsia" w:cs="宋体"/>
          <w:color w:val="auto"/>
          <w:szCs w:val="21"/>
          <w:highlight w:val="none"/>
        </w:rPr>
        <w:t>。</w:t>
      </w:r>
    </w:p>
    <w:p w14:paraId="3D384532">
      <w:pPr>
        <w:tabs>
          <w:tab w:val="left" w:pos="480"/>
        </w:tabs>
        <w:spacing w:line="360" w:lineRule="auto"/>
        <w:ind w:firstLine="480" w:firstLineChars="200"/>
        <w:rPr>
          <w:rFonts w:hint="eastAsia" w:ascii="宋体" w:eastAsia="宋体" w:cs="宋体"/>
          <w:color w:val="auto"/>
          <w:szCs w:val="21"/>
          <w:highlight w:val="none"/>
          <w:lang w:val="de-DE" w:eastAsia="zh-CN"/>
        </w:rPr>
      </w:pPr>
      <w:r>
        <w:rPr>
          <w:rFonts w:hint="eastAsia" w:cs="宋体"/>
          <w:color w:val="auto"/>
          <w:szCs w:val="21"/>
          <w:highlight w:val="none"/>
        </w:rPr>
        <w:t>（三）付款方式</w:t>
      </w:r>
      <w:r>
        <w:rPr>
          <w:rFonts w:hint="eastAsia" w:cs="宋体"/>
          <w:color w:val="auto"/>
          <w:szCs w:val="21"/>
          <w:highlight w:val="none"/>
          <w:u w:val="none"/>
        </w:rPr>
        <w:t>：</w:t>
      </w:r>
      <w:bookmarkStart w:id="23" w:name="OLE_LINK4"/>
      <w:r>
        <w:rPr>
          <w:rFonts w:hint="eastAsia" w:ascii="宋体" w:eastAsia="宋体" w:cs="宋体"/>
          <w:color w:val="auto"/>
          <w:szCs w:val="21"/>
          <w:highlight w:val="none"/>
          <w:u w:val="single"/>
          <w:lang w:val="de-DE" w:eastAsia="zh-CN"/>
        </w:rPr>
        <w:t>合同签订后</w:t>
      </w:r>
      <w:r>
        <w:rPr>
          <w:rFonts w:hint="eastAsia" w:cs="宋体"/>
          <w:color w:val="auto"/>
          <w:szCs w:val="21"/>
          <w:highlight w:val="none"/>
          <w:u w:val="single"/>
          <w:lang w:val="en-US" w:eastAsia="zh-CN"/>
        </w:rPr>
        <w:t>15日内</w:t>
      </w:r>
      <w:r>
        <w:rPr>
          <w:rFonts w:hint="eastAsia" w:ascii="宋体" w:eastAsia="宋体" w:cs="宋体"/>
          <w:color w:val="auto"/>
          <w:szCs w:val="21"/>
          <w:highlight w:val="none"/>
          <w:u w:val="single"/>
          <w:lang w:val="de-DE" w:eastAsia="zh-CN"/>
        </w:rPr>
        <w:t>，供应商开具等额的增值税普通发票，采购方收到符合要求的发票，达到付款条件后，</w:t>
      </w:r>
      <w:r>
        <w:rPr>
          <w:rFonts w:hint="eastAsia" w:cs="宋体"/>
          <w:color w:val="auto"/>
          <w:szCs w:val="21"/>
          <w:highlight w:val="none"/>
          <w:u w:val="single"/>
          <w:lang w:val="en-US" w:eastAsia="zh-CN"/>
        </w:rPr>
        <w:t>10个工作日</w:t>
      </w:r>
      <w:r>
        <w:rPr>
          <w:rFonts w:hint="eastAsia" w:ascii="宋体" w:eastAsia="宋体" w:cs="宋体"/>
          <w:color w:val="auto"/>
          <w:szCs w:val="21"/>
          <w:highlight w:val="none"/>
          <w:u w:val="single"/>
          <w:lang w:val="de-DE" w:eastAsia="zh-CN"/>
        </w:rPr>
        <w:t>内向供应商支付合同金额的</w:t>
      </w:r>
      <w:r>
        <w:rPr>
          <w:rFonts w:hint="eastAsia" w:cs="宋体"/>
          <w:color w:val="auto"/>
          <w:szCs w:val="21"/>
          <w:highlight w:val="none"/>
          <w:u w:val="single"/>
          <w:lang w:val="en-US" w:eastAsia="zh-CN"/>
        </w:rPr>
        <w:t>6</w:t>
      </w:r>
      <w:r>
        <w:rPr>
          <w:rFonts w:hint="eastAsia" w:ascii="宋体" w:eastAsia="宋体" w:cs="宋体"/>
          <w:color w:val="auto"/>
          <w:szCs w:val="21"/>
          <w:highlight w:val="none"/>
          <w:u w:val="single"/>
          <w:lang w:val="de-DE" w:eastAsia="zh-CN"/>
        </w:rPr>
        <w:t>0%项目资金。剩余</w:t>
      </w:r>
      <w:r>
        <w:rPr>
          <w:rFonts w:hint="eastAsia" w:cs="宋体"/>
          <w:color w:val="auto"/>
          <w:szCs w:val="21"/>
          <w:highlight w:val="none"/>
          <w:u w:val="single"/>
          <w:lang w:val="en-US" w:eastAsia="zh-CN"/>
        </w:rPr>
        <w:t>4</w:t>
      </w:r>
      <w:r>
        <w:rPr>
          <w:rFonts w:hint="eastAsia" w:ascii="宋体" w:eastAsia="宋体" w:cs="宋体"/>
          <w:color w:val="auto"/>
          <w:szCs w:val="21"/>
          <w:highlight w:val="none"/>
          <w:u w:val="single"/>
          <w:lang w:val="de-DE" w:eastAsia="zh-CN"/>
        </w:rPr>
        <w:t>0%，活动结束且验收合格后，供应商开具等额的增值税普通发票，采购方收到符合要求的发票，达到付款条件后，</w:t>
      </w:r>
      <w:r>
        <w:rPr>
          <w:rFonts w:hint="eastAsia" w:cs="宋体"/>
          <w:color w:val="auto"/>
          <w:szCs w:val="21"/>
          <w:highlight w:val="none"/>
          <w:u w:val="single"/>
          <w:lang w:val="en-US" w:eastAsia="zh-CN"/>
        </w:rPr>
        <w:t>15个工作日</w:t>
      </w:r>
      <w:r>
        <w:rPr>
          <w:rFonts w:hint="eastAsia" w:ascii="宋体" w:eastAsia="宋体" w:cs="宋体"/>
          <w:color w:val="auto"/>
          <w:szCs w:val="21"/>
          <w:highlight w:val="none"/>
          <w:u w:val="single"/>
          <w:lang w:val="de-DE" w:eastAsia="zh-CN"/>
        </w:rPr>
        <w:t>内向供应商支付合同金额的</w:t>
      </w:r>
      <w:r>
        <w:rPr>
          <w:rFonts w:hint="eastAsia" w:cs="宋体"/>
          <w:color w:val="auto"/>
          <w:szCs w:val="21"/>
          <w:highlight w:val="none"/>
          <w:u w:val="single"/>
          <w:lang w:val="en-US" w:eastAsia="zh-CN"/>
        </w:rPr>
        <w:t>4</w:t>
      </w:r>
      <w:r>
        <w:rPr>
          <w:rFonts w:hint="eastAsia" w:ascii="宋体" w:eastAsia="宋体" w:cs="宋体"/>
          <w:color w:val="auto"/>
          <w:szCs w:val="21"/>
          <w:highlight w:val="none"/>
          <w:u w:val="single"/>
          <w:lang w:val="de-DE" w:eastAsia="zh-CN"/>
        </w:rPr>
        <w:t>0%项目资金。</w:t>
      </w:r>
    </w:p>
    <w:bookmarkEnd w:id="23"/>
    <w:p w14:paraId="455FCCE3">
      <w:pPr>
        <w:tabs>
          <w:tab w:val="left" w:pos="480"/>
        </w:tabs>
        <w:spacing w:line="360" w:lineRule="auto"/>
        <w:outlineLvl w:val="1"/>
        <w:rPr>
          <w:rFonts w:hint="eastAsia" w:cs="宋体"/>
          <w:b/>
          <w:color w:val="auto"/>
          <w:szCs w:val="21"/>
          <w:highlight w:val="none"/>
        </w:rPr>
      </w:pPr>
      <w:bookmarkStart w:id="24" w:name="_Toc31371"/>
      <w:bookmarkStart w:id="25" w:name="_Toc17530"/>
      <w:bookmarkStart w:id="26" w:name="_Toc28704"/>
      <w:bookmarkStart w:id="27" w:name="_Toc30881"/>
      <w:bookmarkStart w:id="28" w:name="_Toc17757"/>
      <w:r>
        <w:rPr>
          <w:rFonts w:hint="eastAsia" w:cs="宋体"/>
          <w:b/>
          <w:color w:val="auto"/>
          <w:szCs w:val="21"/>
          <w:highlight w:val="none"/>
        </w:rPr>
        <w:t>四、双方的权利和义务</w:t>
      </w:r>
      <w:bookmarkEnd w:id="24"/>
      <w:bookmarkEnd w:id="25"/>
      <w:bookmarkEnd w:id="26"/>
      <w:bookmarkEnd w:id="27"/>
      <w:bookmarkEnd w:id="28"/>
    </w:p>
    <w:p w14:paraId="118A1FB3">
      <w:pPr>
        <w:spacing w:line="360" w:lineRule="auto"/>
        <w:ind w:firstLine="240" w:firstLineChars="100"/>
        <w:rPr>
          <w:rFonts w:hint="eastAsia" w:cs="宋体"/>
          <w:color w:val="auto"/>
          <w:szCs w:val="21"/>
          <w:highlight w:val="none"/>
        </w:rPr>
      </w:pPr>
      <w:r>
        <w:rPr>
          <w:rFonts w:hint="eastAsia" w:cs="宋体"/>
          <w:color w:val="auto"/>
          <w:szCs w:val="21"/>
          <w:highlight w:val="none"/>
        </w:rPr>
        <w:t>（一）甲方的权利和义务</w:t>
      </w:r>
    </w:p>
    <w:p w14:paraId="3ED67D32">
      <w:pPr>
        <w:spacing w:line="360" w:lineRule="auto"/>
        <w:ind w:firstLine="480" w:firstLineChars="200"/>
        <w:rPr>
          <w:rFonts w:hint="eastAsia" w:cs="宋体"/>
          <w:color w:val="auto"/>
          <w:szCs w:val="21"/>
          <w:highlight w:val="none"/>
        </w:rPr>
      </w:pPr>
      <w:r>
        <w:rPr>
          <w:rFonts w:hint="eastAsia" w:cs="宋体"/>
          <w:color w:val="auto"/>
          <w:szCs w:val="21"/>
          <w:highlight w:val="none"/>
        </w:rPr>
        <w:t>甲方权利：严格按照竞争性磋商文件及竞争性磋商响应文件要求和标准对本次服务项目的实施进行监督。</w:t>
      </w:r>
    </w:p>
    <w:p w14:paraId="6704F51F">
      <w:pPr>
        <w:spacing w:line="360" w:lineRule="auto"/>
        <w:ind w:firstLine="480" w:firstLineChars="200"/>
        <w:rPr>
          <w:rFonts w:hint="eastAsia" w:cs="宋体"/>
          <w:color w:val="auto"/>
          <w:szCs w:val="21"/>
          <w:highlight w:val="none"/>
        </w:rPr>
      </w:pPr>
      <w:r>
        <w:rPr>
          <w:rFonts w:hint="eastAsia" w:cs="宋体"/>
          <w:color w:val="auto"/>
          <w:szCs w:val="21"/>
          <w:highlight w:val="none"/>
        </w:rPr>
        <w:t>甲方义务：积极配合乙方服务过程中的沟通协调工作。</w:t>
      </w:r>
    </w:p>
    <w:p w14:paraId="332C5A6F">
      <w:pPr>
        <w:spacing w:line="360" w:lineRule="auto"/>
        <w:ind w:firstLine="240" w:firstLineChars="100"/>
        <w:rPr>
          <w:rFonts w:hint="eastAsia" w:cs="宋体"/>
          <w:color w:val="auto"/>
          <w:szCs w:val="21"/>
          <w:highlight w:val="none"/>
        </w:rPr>
      </w:pPr>
      <w:r>
        <w:rPr>
          <w:rFonts w:hint="eastAsia" w:cs="宋体"/>
          <w:color w:val="auto"/>
          <w:szCs w:val="21"/>
          <w:highlight w:val="none"/>
        </w:rPr>
        <w:t>（二）乙方的权利和义务</w:t>
      </w:r>
    </w:p>
    <w:p w14:paraId="3BEB7978">
      <w:pPr>
        <w:spacing w:line="360" w:lineRule="auto"/>
        <w:ind w:firstLine="240" w:firstLineChars="100"/>
        <w:rPr>
          <w:rFonts w:hint="eastAsia" w:cs="宋体"/>
          <w:color w:val="auto"/>
          <w:szCs w:val="21"/>
          <w:highlight w:val="none"/>
        </w:rPr>
      </w:pPr>
      <w:r>
        <w:rPr>
          <w:rFonts w:hint="eastAsia" w:cs="宋体"/>
          <w:color w:val="auto"/>
          <w:szCs w:val="21"/>
          <w:highlight w:val="none"/>
        </w:rPr>
        <w:t xml:space="preserve">  乙方权利：按照合同约定要求甲方及时付款。</w:t>
      </w:r>
    </w:p>
    <w:p w14:paraId="2A4E1459">
      <w:pPr>
        <w:spacing w:line="360" w:lineRule="auto"/>
        <w:ind w:firstLine="480" w:firstLineChars="200"/>
        <w:rPr>
          <w:rFonts w:hint="eastAsia" w:cs="宋体"/>
          <w:color w:val="auto"/>
          <w:szCs w:val="21"/>
          <w:highlight w:val="none"/>
        </w:rPr>
      </w:pPr>
      <w:r>
        <w:rPr>
          <w:rFonts w:hint="eastAsia" w:cs="宋体"/>
          <w:color w:val="auto"/>
          <w:szCs w:val="21"/>
          <w:highlight w:val="none"/>
        </w:rPr>
        <w:t>乙方义务：按照合同约定时间，在甲方指定地点提供本项目的服务工作；自检并配合甲方考核验收工作。</w:t>
      </w:r>
    </w:p>
    <w:p w14:paraId="42D7F957">
      <w:pPr>
        <w:tabs>
          <w:tab w:val="left" w:pos="480"/>
        </w:tabs>
        <w:spacing w:line="360" w:lineRule="auto"/>
        <w:outlineLvl w:val="1"/>
        <w:rPr>
          <w:rFonts w:hint="eastAsia" w:cs="宋体"/>
          <w:color w:val="auto"/>
          <w:szCs w:val="21"/>
          <w:highlight w:val="none"/>
        </w:rPr>
      </w:pPr>
      <w:bookmarkStart w:id="29" w:name="_Toc21577"/>
      <w:bookmarkStart w:id="30" w:name="_Toc25885"/>
      <w:bookmarkStart w:id="31" w:name="_Toc23815"/>
      <w:bookmarkStart w:id="32" w:name="_Toc32365"/>
      <w:bookmarkStart w:id="33" w:name="_Toc24893"/>
      <w:r>
        <w:rPr>
          <w:rFonts w:hint="eastAsia" w:cs="宋体"/>
          <w:b/>
          <w:color w:val="auto"/>
          <w:szCs w:val="21"/>
          <w:highlight w:val="none"/>
        </w:rPr>
        <w:t>五、服务条件</w:t>
      </w:r>
      <w:bookmarkEnd w:id="29"/>
      <w:bookmarkEnd w:id="30"/>
      <w:bookmarkEnd w:id="31"/>
      <w:bookmarkEnd w:id="32"/>
      <w:bookmarkEnd w:id="33"/>
    </w:p>
    <w:p w14:paraId="28FC400E">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（一）服务地点：甲方指定地点。</w:t>
      </w:r>
    </w:p>
    <w:p w14:paraId="6C56F771">
      <w:pPr>
        <w:tabs>
          <w:tab w:val="left" w:pos="480"/>
        </w:tabs>
        <w:spacing w:line="360" w:lineRule="auto"/>
        <w:ind w:firstLine="480" w:firstLineChars="200"/>
        <w:rPr>
          <w:rFonts w:hint="default" w:eastAsia="宋体" w:cs="宋体"/>
          <w:color w:val="auto"/>
          <w:szCs w:val="21"/>
          <w:highlight w:val="none"/>
          <w:lang w:val="en-US" w:eastAsia="zh-CN"/>
        </w:rPr>
      </w:pPr>
      <w:r>
        <w:rPr>
          <w:rFonts w:hint="eastAsia" w:cs="宋体"/>
          <w:color w:val="auto"/>
          <w:szCs w:val="21"/>
          <w:highlight w:val="none"/>
        </w:rPr>
        <w:t>（二）服务期：</w:t>
      </w:r>
      <w:r>
        <w:rPr>
          <w:rFonts w:hint="eastAsia" w:cs="宋体"/>
          <w:color w:val="auto"/>
          <w:szCs w:val="21"/>
          <w:highlight w:val="none"/>
          <w:lang w:val="en-US" w:eastAsia="zh-CN"/>
        </w:rPr>
        <w:t>自合同签订之日起至项目结束</w:t>
      </w:r>
    </w:p>
    <w:p w14:paraId="6C6BDDEF">
      <w:pPr>
        <w:tabs>
          <w:tab w:val="left" w:pos="480"/>
        </w:tabs>
        <w:spacing w:line="360" w:lineRule="auto"/>
        <w:outlineLvl w:val="1"/>
        <w:rPr>
          <w:rFonts w:hint="eastAsia" w:cs="宋体"/>
          <w:b/>
          <w:color w:val="auto"/>
          <w:szCs w:val="21"/>
          <w:highlight w:val="none"/>
        </w:rPr>
      </w:pPr>
      <w:bookmarkStart w:id="34" w:name="_Toc2178"/>
      <w:bookmarkStart w:id="35" w:name="_Toc32754"/>
      <w:bookmarkStart w:id="36" w:name="_Toc29734"/>
      <w:bookmarkStart w:id="37" w:name="_Toc22113"/>
      <w:bookmarkStart w:id="38" w:name="_Toc31282"/>
      <w:r>
        <w:rPr>
          <w:rFonts w:hint="eastAsia" w:cs="宋体"/>
          <w:b/>
          <w:color w:val="auto"/>
          <w:szCs w:val="21"/>
          <w:highlight w:val="none"/>
        </w:rPr>
        <w:t>六、</w:t>
      </w:r>
      <w:r>
        <w:rPr>
          <w:rFonts w:hint="eastAsia" w:cs="宋体"/>
          <w:b/>
          <w:color w:val="auto"/>
          <w:szCs w:val="24"/>
          <w:highlight w:val="none"/>
        </w:rPr>
        <w:t>服务支持</w:t>
      </w:r>
      <w:bookmarkEnd w:id="34"/>
      <w:bookmarkEnd w:id="35"/>
      <w:bookmarkEnd w:id="36"/>
      <w:bookmarkEnd w:id="37"/>
      <w:bookmarkEnd w:id="38"/>
    </w:p>
    <w:p w14:paraId="655F459C">
      <w:pPr>
        <w:tabs>
          <w:tab w:val="left" w:pos="480"/>
        </w:tabs>
        <w:spacing w:line="360" w:lineRule="auto"/>
        <w:ind w:firstLine="480" w:firstLineChars="200"/>
        <w:rPr>
          <w:rFonts w:hint="eastAsia" w:cs="宋体"/>
          <w:bCs/>
          <w:color w:val="auto"/>
          <w:szCs w:val="21"/>
          <w:highlight w:val="none"/>
        </w:rPr>
      </w:pPr>
      <w:r>
        <w:rPr>
          <w:rFonts w:hint="eastAsia" w:cs="宋体"/>
          <w:bCs/>
          <w:color w:val="auto"/>
          <w:szCs w:val="21"/>
          <w:highlight w:val="none"/>
          <w:lang w:eastAsia="zh-CN"/>
        </w:rPr>
        <w:t>乙方</w:t>
      </w:r>
      <w:r>
        <w:rPr>
          <w:rFonts w:hint="eastAsia" w:cs="宋体"/>
          <w:bCs/>
          <w:color w:val="auto"/>
          <w:szCs w:val="21"/>
          <w:highlight w:val="none"/>
        </w:rPr>
        <w:t>在项目实施过程中，质量保障人员、资源不足或者执行不力，给项目质量带来的风险超出</w:t>
      </w:r>
      <w:r>
        <w:rPr>
          <w:rFonts w:hint="eastAsia" w:cs="宋体"/>
          <w:bCs/>
          <w:color w:val="auto"/>
          <w:szCs w:val="21"/>
          <w:highlight w:val="none"/>
          <w:lang w:eastAsia="zh-CN"/>
        </w:rPr>
        <w:t>甲方</w:t>
      </w:r>
      <w:r>
        <w:rPr>
          <w:rFonts w:hint="eastAsia" w:cs="宋体"/>
          <w:bCs/>
          <w:color w:val="auto"/>
          <w:szCs w:val="21"/>
          <w:highlight w:val="none"/>
        </w:rPr>
        <w:t>认定的允许范围时，</w:t>
      </w:r>
      <w:r>
        <w:rPr>
          <w:rFonts w:hint="eastAsia" w:cs="宋体"/>
          <w:bCs/>
          <w:color w:val="auto"/>
          <w:szCs w:val="21"/>
          <w:highlight w:val="none"/>
          <w:lang w:eastAsia="zh-CN"/>
        </w:rPr>
        <w:t>甲方</w:t>
      </w:r>
      <w:r>
        <w:rPr>
          <w:rFonts w:hint="eastAsia" w:cs="宋体"/>
          <w:bCs/>
          <w:color w:val="auto"/>
          <w:szCs w:val="21"/>
          <w:highlight w:val="none"/>
        </w:rPr>
        <w:t>可终止本项目的合作并进行索赔。</w:t>
      </w:r>
    </w:p>
    <w:p w14:paraId="2B2B5DA1">
      <w:pPr>
        <w:tabs>
          <w:tab w:val="left" w:pos="480"/>
        </w:tabs>
        <w:spacing w:line="360" w:lineRule="auto"/>
        <w:outlineLvl w:val="1"/>
        <w:rPr>
          <w:rFonts w:hint="eastAsia" w:cs="宋体"/>
          <w:b/>
          <w:color w:val="auto"/>
          <w:szCs w:val="21"/>
          <w:highlight w:val="none"/>
        </w:rPr>
      </w:pPr>
      <w:bookmarkStart w:id="39" w:name="_Toc2601"/>
      <w:bookmarkStart w:id="40" w:name="_Toc4554"/>
      <w:bookmarkStart w:id="41" w:name="_Toc17141"/>
      <w:bookmarkStart w:id="42" w:name="_Toc2716"/>
      <w:bookmarkStart w:id="43" w:name="_Toc26633"/>
      <w:r>
        <w:rPr>
          <w:rFonts w:hint="eastAsia" w:cs="宋体"/>
          <w:b/>
          <w:color w:val="auto"/>
          <w:szCs w:val="21"/>
          <w:highlight w:val="none"/>
        </w:rPr>
        <w:t>七、质量保证</w:t>
      </w:r>
      <w:bookmarkEnd w:id="39"/>
      <w:bookmarkEnd w:id="40"/>
      <w:bookmarkEnd w:id="41"/>
      <w:bookmarkEnd w:id="42"/>
      <w:bookmarkEnd w:id="43"/>
    </w:p>
    <w:p w14:paraId="71A1B284">
      <w:pPr>
        <w:tabs>
          <w:tab w:val="left" w:pos="480"/>
        </w:tabs>
        <w:spacing w:line="360" w:lineRule="auto"/>
        <w:ind w:firstLine="470" w:firstLineChars="196"/>
        <w:rPr>
          <w:rFonts w:hint="eastAsia" w:cs="宋体"/>
          <w:color w:val="auto"/>
          <w:szCs w:val="24"/>
          <w:highlight w:val="none"/>
        </w:rPr>
      </w:pPr>
      <w:bookmarkStart w:id="44" w:name="_Toc8336"/>
      <w:bookmarkStart w:id="45" w:name="_Toc10532"/>
      <w:r>
        <w:rPr>
          <w:rFonts w:hint="eastAsia" w:cs="宋体"/>
          <w:color w:val="auto"/>
          <w:szCs w:val="24"/>
          <w:highlight w:val="none"/>
        </w:rPr>
        <w:t>乙方所供服务必须执行下列条款：</w:t>
      </w:r>
    </w:p>
    <w:p w14:paraId="2A477BA0">
      <w:pPr>
        <w:tabs>
          <w:tab w:val="left" w:pos="480"/>
        </w:tabs>
        <w:spacing w:line="360" w:lineRule="auto"/>
        <w:ind w:firstLine="240" w:firstLineChars="100"/>
        <w:rPr>
          <w:rFonts w:hint="eastAsia" w:cs="宋体"/>
          <w:color w:val="auto"/>
          <w:szCs w:val="24"/>
          <w:highlight w:val="none"/>
        </w:rPr>
      </w:pPr>
      <w:r>
        <w:rPr>
          <w:rFonts w:hint="eastAsia" w:cs="宋体"/>
          <w:color w:val="auto"/>
          <w:szCs w:val="24"/>
          <w:highlight w:val="none"/>
          <w:lang w:val="en-US" w:eastAsia="zh-CN"/>
        </w:rPr>
        <w:t>1、</w:t>
      </w:r>
      <w:r>
        <w:rPr>
          <w:rFonts w:hint="eastAsia" w:cs="宋体"/>
          <w:color w:val="auto"/>
          <w:szCs w:val="24"/>
          <w:highlight w:val="none"/>
        </w:rPr>
        <w:t>保证所组织活动的方案设计、具体实施等，均应按国内外通行的现行标准和相应的技术规范执行，这些标准和技术规范应为合同签订日为止最新公布发行的标准和技术规范。</w:t>
      </w:r>
    </w:p>
    <w:p w14:paraId="3641E08C">
      <w:pPr>
        <w:tabs>
          <w:tab w:val="left" w:pos="480"/>
        </w:tabs>
        <w:spacing w:line="360" w:lineRule="auto"/>
        <w:ind w:firstLine="240" w:firstLineChars="100"/>
        <w:rPr>
          <w:rFonts w:hint="eastAsia" w:cs="宋体"/>
          <w:color w:val="auto"/>
          <w:szCs w:val="24"/>
          <w:highlight w:val="none"/>
        </w:rPr>
      </w:pPr>
      <w:r>
        <w:rPr>
          <w:rFonts w:hint="eastAsia" w:cs="宋体"/>
          <w:color w:val="auto"/>
          <w:szCs w:val="24"/>
          <w:highlight w:val="none"/>
          <w:lang w:val="en-US" w:eastAsia="zh-CN"/>
        </w:rPr>
        <w:t>2、</w:t>
      </w:r>
      <w:r>
        <w:rPr>
          <w:rFonts w:hint="eastAsia" w:cs="宋体"/>
          <w:color w:val="auto"/>
          <w:szCs w:val="24"/>
          <w:highlight w:val="none"/>
          <w:lang w:eastAsia="zh-CN"/>
        </w:rPr>
        <w:t>乙方</w:t>
      </w:r>
      <w:r>
        <w:rPr>
          <w:rFonts w:hint="eastAsia" w:cs="宋体"/>
          <w:color w:val="auto"/>
          <w:szCs w:val="24"/>
          <w:highlight w:val="none"/>
        </w:rPr>
        <w:t>所组织活动因侵权而产生的一切后果由</w:t>
      </w:r>
      <w:r>
        <w:rPr>
          <w:rFonts w:hint="eastAsia" w:cs="宋体"/>
          <w:color w:val="auto"/>
          <w:szCs w:val="24"/>
          <w:highlight w:val="none"/>
          <w:lang w:eastAsia="zh-CN"/>
        </w:rPr>
        <w:t>乙方</w:t>
      </w:r>
      <w:r>
        <w:rPr>
          <w:rFonts w:hint="eastAsia" w:cs="宋体"/>
          <w:color w:val="auto"/>
          <w:szCs w:val="24"/>
          <w:highlight w:val="none"/>
        </w:rPr>
        <w:t>负责，</w:t>
      </w:r>
      <w:r>
        <w:rPr>
          <w:rFonts w:hint="eastAsia" w:cs="宋体"/>
          <w:color w:val="auto"/>
          <w:szCs w:val="24"/>
          <w:highlight w:val="none"/>
          <w:lang w:eastAsia="zh-CN"/>
        </w:rPr>
        <w:t>甲方</w:t>
      </w:r>
      <w:r>
        <w:rPr>
          <w:rFonts w:hint="eastAsia" w:cs="宋体"/>
          <w:color w:val="auto"/>
          <w:szCs w:val="24"/>
          <w:highlight w:val="none"/>
        </w:rPr>
        <w:t>保留索赔权利。</w:t>
      </w:r>
    </w:p>
    <w:p w14:paraId="6DFBFD6A">
      <w:pPr>
        <w:spacing w:line="360" w:lineRule="auto"/>
        <w:ind w:firstLine="240" w:firstLineChars="100"/>
        <w:rPr>
          <w:rFonts w:hint="eastAsia" w:cs="宋体"/>
          <w:b/>
          <w:color w:val="auto"/>
          <w:szCs w:val="21"/>
          <w:highlight w:val="none"/>
        </w:rPr>
      </w:pPr>
      <w:r>
        <w:rPr>
          <w:rFonts w:hint="eastAsia" w:cs="宋体"/>
          <w:color w:val="auto"/>
          <w:szCs w:val="24"/>
          <w:highlight w:val="none"/>
          <w:lang w:val="en-US" w:eastAsia="zh-CN"/>
        </w:rPr>
        <w:t>3、</w:t>
      </w:r>
      <w:r>
        <w:rPr>
          <w:rFonts w:hint="eastAsia" w:cs="宋体"/>
          <w:color w:val="auto"/>
          <w:szCs w:val="24"/>
          <w:highlight w:val="none"/>
          <w:lang w:eastAsia="zh-CN"/>
        </w:rPr>
        <w:t>乙方</w:t>
      </w:r>
      <w:r>
        <w:rPr>
          <w:rFonts w:hint="eastAsia" w:cs="宋体"/>
          <w:color w:val="auto"/>
          <w:szCs w:val="24"/>
          <w:highlight w:val="none"/>
        </w:rPr>
        <w:t>在磋商时承诺的团队负责人、团队工作人员</w:t>
      </w:r>
      <w:r>
        <w:rPr>
          <w:rFonts w:hint="eastAsia" w:cs="宋体"/>
          <w:color w:val="auto"/>
          <w:szCs w:val="24"/>
          <w:highlight w:val="none"/>
          <w:lang w:eastAsia="zh-CN"/>
        </w:rPr>
        <w:t>等</w:t>
      </w:r>
      <w:r>
        <w:rPr>
          <w:rFonts w:hint="eastAsia" w:cs="宋体"/>
          <w:color w:val="auto"/>
          <w:szCs w:val="24"/>
          <w:highlight w:val="none"/>
        </w:rPr>
        <w:t>必须按响应文件的执行方案参与到具体工作中。</w:t>
      </w:r>
      <w:bookmarkEnd w:id="44"/>
      <w:bookmarkEnd w:id="45"/>
    </w:p>
    <w:p w14:paraId="797950BA">
      <w:pPr>
        <w:tabs>
          <w:tab w:val="left" w:pos="480"/>
        </w:tabs>
        <w:spacing w:line="360" w:lineRule="auto"/>
        <w:outlineLvl w:val="1"/>
        <w:rPr>
          <w:rFonts w:hint="eastAsia" w:cs="宋体"/>
          <w:b/>
          <w:color w:val="auto"/>
          <w:szCs w:val="21"/>
          <w:highlight w:val="none"/>
        </w:rPr>
      </w:pPr>
      <w:bookmarkStart w:id="46" w:name="_Toc10347"/>
      <w:bookmarkStart w:id="47" w:name="_Toc31724"/>
      <w:bookmarkStart w:id="48" w:name="_Toc31058"/>
      <w:bookmarkStart w:id="49" w:name="_Toc21294"/>
      <w:bookmarkStart w:id="50" w:name="_Toc2440"/>
      <w:r>
        <w:rPr>
          <w:rFonts w:hint="eastAsia" w:cs="宋体"/>
          <w:b/>
          <w:color w:val="auto"/>
          <w:szCs w:val="21"/>
          <w:highlight w:val="none"/>
        </w:rPr>
        <w:t>八、</w:t>
      </w:r>
      <w:r>
        <w:rPr>
          <w:rFonts w:hint="eastAsia" w:cs="宋体"/>
          <w:b/>
          <w:color w:val="auto"/>
          <w:szCs w:val="24"/>
          <w:highlight w:val="none"/>
        </w:rPr>
        <w:t>考核验收</w:t>
      </w:r>
      <w:bookmarkEnd w:id="46"/>
      <w:bookmarkEnd w:id="47"/>
      <w:bookmarkEnd w:id="48"/>
      <w:bookmarkEnd w:id="49"/>
      <w:bookmarkEnd w:id="50"/>
    </w:p>
    <w:p w14:paraId="42E1E18A">
      <w:pPr>
        <w:tabs>
          <w:tab w:val="left" w:pos="480"/>
        </w:tabs>
        <w:spacing w:line="360" w:lineRule="auto"/>
        <w:ind w:firstLine="480" w:firstLineChars="200"/>
        <w:rPr>
          <w:rFonts w:hint="eastAsia" w:ascii="宋体" w:eastAsia="宋体" w:cs="宋体"/>
          <w:color w:val="auto"/>
          <w:szCs w:val="24"/>
          <w:highlight w:val="none"/>
        </w:rPr>
      </w:pPr>
      <w:bookmarkStart w:id="51" w:name="_Toc11043"/>
      <w:bookmarkStart w:id="52" w:name="_Toc24413"/>
      <w:bookmarkStart w:id="53" w:name="_Toc11557"/>
      <w:bookmarkStart w:id="54" w:name="_Toc26566"/>
      <w:bookmarkStart w:id="55" w:name="_Toc21893"/>
      <w:r>
        <w:rPr>
          <w:rFonts w:hint="eastAsia" w:ascii="宋体" w:eastAsia="宋体" w:cs="宋体"/>
          <w:color w:val="auto"/>
          <w:szCs w:val="24"/>
          <w:highlight w:val="none"/>
          <w:lang w:val="en-US" w:eastAsia="zh-CN"/>
        </w:rPr>
        <w:t>1.</w:t>
      </w:r>
      <w:r>
        <w:rPr>
          <w:rFonts w:hint="eastAsia" w:ascii="宋体" w:eastAsia="宋体" w:cs="宋体"/>
          <w:color w:val="auto"/>
          <w:szCs w:val="24"/>
          <w:highlight w:val="none"/>
        </w:rPr>
        <w:t>服务期满后按照成交供应商所提供的资料及数据进行验收；</w:t>
      </w:r>
    </w:p>
    <w:p w14:paraId="7AF69E55">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lang w:val="en-US" w:eastAsia="zh-CN"/>
        </w:rPr>
        <w:t>2.</w:t>
      </w:r>
      <w:r>
        <w:rPr>
          <w:rFonts w:hint="eastAsia" w:ascii="宋体" w:eastAsia="宋体" w:cs="宋体"/>
          <w:color w:val="auto"/>
          <w:szCs w:val="24"/>
          <w:highlight w:val="none"/>
        </w:rPr>
        <w:t>最终验收：自合同签订之日起至完成全部项目内容，需按照采购人确定的时间完成交付并验收合格，验收合格后，填写验收单。</w:t>
      </w:r>
    </w:p>
    <w:p w14:paraId="61C3591E">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lang w:val="en-US" w:eastAsia="zh-CN"/>
        </w:rPr>
        <w:t>3.</w:t>
      </w:r>
      <w:r>
        <w:rPr>
          <w:rFonts w:hint="eastAsia" w:ascii="宋体" w:eastAsia="宋体" w:cs="宋体"/>
          <w:color w:val="auto"/>
          <w:szCs w:val="24"/>
          <w:highlight w:val="none"/>
        </w:rPr>
        <w:t>验收和评价方式</w:t>
      </w:r>
    </w:p>
    <w:p w14:paraId="5DED17C0">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1CBD07E6">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3.2  若发现乙方有弄虚作假的，及在项目实施阶段故意或随意夸大服务，本项目合同解除，乙方赔偿甲方相应的损失。</w:t>
      </w:r>
    </w:p>
    <w:p w14:paraId="32112FF5">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3.3  验收标准：按磋商文件、磋商响应文件等服务指标进行逐项验收，各项指标均应符合验收标准及要求。</w:t>
      </w:r>
    </w:p>
    <w:p w14:paraId="43ABCC6F">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3.4  验收合格后，填写验收单，双方盖章、签字生效。</w:t>
      </w:r>
    </w:p>
    <w:p w14:paraId="08D02635">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3.5  验收依据</w:t>
      </w:r>
    </w:p>
    <w:p w14:paraId="5B5A6507">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3.5.1  合同文本。</w:t>
      </w:r>
    </w:p>
    <w:p w14:paraId="427D1D97">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3.5.2  磋商响应文件、磋商文件、澄清函。</w:t>
      </w:r>
    </w:p>
    <w:p w14:paraId="6E5D7D79">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rPr>
        <w:t>3.5.3  国家和行业制定的相应的标准和规范。</w:t>
      </w:r>
    </w:p>
    <w:p w14:paraId="264852D8">
      <w:pPr>
        <w:tabs>
          <w:tab w:val="left" w:pos="480"/>
        </w:tabs>
        <w:spacing w:line="360" w:lineRule="auto"/>
        <w:outlineLvl w:val="1"/>
        <w:rPr>
          <w:rFonts w:hint="eastAsia" w:cs="宋体"/>
          <w:b/>
          <w:color w:val="auto"/>
          <w:szCs w:val="21"/>
          <w:highlight w:val="none"/>
        </w:rPr>
      </w:pPr>
      <w:r>
        <w:rPr>
          <w:rFonts w:hint="eastAsia" w:cs="宋体"/>
          <w:b/>
          <w:color w:val="auto"/>
          <w:szCs w:val="21"/>
          <w:highlight w:val="none"/>
        </w:rPr>
        <w:t>十、</w:t>
      </w:r>
      <w:r>
        <w:rPr>
          <w:rFonts w:hint="eastAsia" w:cs="宋体"/>
          <w:b/>
          <w:color w:val="auto"/>
          <w:szCs w:val="24"/>
          <w:highlight w:val="none"/>
        </w:rPr>
        <w:t>知识产权、专利权</w:t>
      </w:r>
      <w:bookmarkEnd w:id="51"/>
      <w:bookmarkEnd w:id="52"/>
      <w:bookmarkEnd w:id="53"/>
      <w:bookmarkEnd w:id="54"/>
      <w:bookmarkEnd w:id="55"/>
    </w:p>
    <w:p w14:paraId="2671F929">
      <w:pPr>
        <w:tabs>
          <w:tab w:val="left" w:pos="480"/>
        </w:tabs>
        <w:spacing w:line="360" w:lineRule="auto"/>
        <w:ind w:firstLine="480" w:firstLineChars="200"/>
        <w:rPr>
          <w:rFonts w:hint="eastAsia" w:cs="宋体"/>
          <w:color w:val="auto"/>
          <w:szCs w:val="21"/>
          <w:highlight w:val="none"/>
        </w:rPr>
      </w:pPr>
      <w:r>
        <w:rPr>
          <w:rFonts w:hint="eastAsia" w:cs="宋体"/>
          <w:color w:val="auto"/>
          <w:szCs w:val="24"/>
          <w:highlight w:val="none"/>
          <w:lang w:eastAsia="zh-CN"/>
        </w:rPr>
        <w:t>乙方</w:t>
      </w:r>
      <w:r>
        <w:rPr>
          <w:rFonts w:hint="eastAsia" w:cs="宋体"/>
          <w:color w:val="auto"/>
          <w:szCs w:val="24"/>
          <w:highlight w:val="none"/>
        </w:rPr>
        <w:t>应对所提供的文稿及图像、影像资料，已取得合法知识产权或其使用权，</w:t>
      </w:r>
      <w:r>
        <w:rPr>
          <w:rFonts w:hint="eastAsia" w:cs="宋体"/>
          <w:color w:val="auto"/>
          <w:szCs w:val="24"/>
          <w:highlight w:val="none"/>
          <w:lang w:eastAsia="zh-CN"/>
        </w:rPr>
        <w:t>乙方</w:t>
      </w:r>
      <w:r>
        <w:rPr>
          <w:rFonts w:hint="eastAsia" w:cs="宋体"/>
          <w:color w:val="auto"/>
          <w:szCs w:val="24"/>
          <w:highlight w:val="none"/>
        </w:rPr>
        <w:t>应保证所提供的服务不会出现因第三方提出侵犯其版权、商标权或其它知识产权而引发法律或经济纠纷，否则由</w:t>
      </w:r>
      <w:r>
        <w:rPr>
          <w:rFonts w:hint="eastAsia" w:cs="宋体"/>
          <w:color w:val="auto"/>
          <w:szCs w:val="24"/>
          <w:highlight w:val="none"/>
          <w:lang w:eastAsia="zh-CN"/>
        </w:rPr>
        <w:t>乙方</w:t>
      </w:r>
      <w:r>
        <w:rPr>
          <w:rFonts w:hint="eastAsia" w:cs="宋体"/>
          <w:color w:val="auto"/>
          <w:szCs w:val="24"/>
          <w:highlight w:val="none"/>
        </w:rPr>
        <w:t>负责解决并承担全部责任；如因此影响到</w:t>
      </w:r>
      <w:r>
        <w:rPr>
          <w:rFonts w:hint="eastAsia" w:cs="宋体"/>
          <w:color w:val="auto"/>
          <w:szCs w:val="24"/>
          <w:highlight w:val="none"/>
          <w:lang w:eastAsia="zh-CN"/>
        </w:rPr>
        <w:t>甲方</w:t>
      </w:r>
      <w:r>
        <w:rPr>
          <w:rFonts w:hint="eastAsia" w:cs="宋体"/>
          <w:color w:val="auto"/>
          <w:szCs w:val="24"/>
          <w:highlight w:val="none"/>
        </w:rPr>
        <w:t>的正常使用，</w:t>
      </w:r>
      <w:r>
        <w:rPr>
          <w:rFonts w:hint="eastAsia" w:cs="宋体"/>
          <w:color w:val="auto"/>
          <w:szCs w:val="24"/>
          <w:highlight w:val="none"/>
          <w:lang w:eastAsia="zh-CN"/>
        </w:rPr>
        <w:t>甲方</w:t>
      </w:r>
      <w:r>
        <w:rPr>
          <w:rFonts w:hint="eastAsia" w:cs="宋体"/>
          <w:color w:val="auto"/>
          <w:szCs w:val="24"/>
          <w:highlight w:val="none"/>
        </w:rPr>
        <w:t>有权单方解除本合同，</w:t>
      </w:r>
      <w:r>
        <w:rPr>
          <w:rFonts w:hint="eastAsia" w:cs="宋体"/>
          <w:color w:val="auto"/>
          <w:szCs w:val="24"/>
          <w:highlight w:val="none"/>
          <w:lang w:eastAsia="zh-CN"/>
        </w:rPr>
        <w:t>乙方</w:t>
      </w:r>
      <w:r>
        <w:rPr>
          <w:rFonts w:hint="eastAsia" w:cs="宋体"/>
          <w:color w:val="auto"/>
          <w:szCs w:val="24"/>
          <w:highlight w:val="none"/>
        </w:rPr>
        <w:t>应无条件向</w:t>
      </w:r>
      <w:r>
        <w:rPr>
          <w:rFonts w:hint="eastAsia" w:cs="宋体"/>
          <w:color w:val="auto"/>
          <w:szCs w:val="24"/>
          <w:highlight w:val="none"/>
          <w:lang w:eastAsia="zh-CN"/>
        </w:rPr>
        <w:t>甲方</w:t>
      </w:r>
      <w:r>
        <w:rPr>
          <w:rFonts w:hint="eastAsia" w:cs="宋体"/>
          <w:color w:val="auto"/>
          <w:szCs w:val="24"/>
          <w:highlight w:val="none"/>
        </w:rPr>
        <w:t>退回已收取的全部合同价款。</w:t>
      </w:r>
    </w:p>
    <w:p w14:paraId="355E00D1">
      <w:pPr>
        <w:tabs>
          <w:tab w:val="left" w:pos="480"/>
        </w:tabs>
        <w:spacing w:line="360" w:lineRule="auto"/>
        <w:outlineLvl w:val="1"/>
        <w:rPr>
          <w:rFonts w:hint="eastAsia" w:cs="宋体"/>
          <w:b/>
          <w:color w:val="auto"/>
          <w:szCs w:val="21"/>
          <w:highlight w:val="none"/>
        </w:rPr>
      </w:pPr>
      <w:bookmarkStart w:id="56" w:name="_Toc26859"/>
      <w:bookmarkStart w:id="57" w:name="_Toc7776"/>
      <w:bookmarkStart w:id="58" w:name="_Toc28036"/>
      <w:bookmarkStart w:id="59" w:name="_Toc17134"/>
      <w:bookmarkStart w:id="60" w:name="_Toc775"/>
      <w:r>
        <w:rPr>
          <w:rFonts w:hint="eastAsia" w:cs="宋体"/>
          <w:b/>
          <w:color w:val="auto"/>
          <w:szCs w:val="21"/>
          <w:highlight w:val="none"/>
        </w:rPr>
        <w:t>十一、违约责任</w:t>
      </w:r>
      <w:bookmarkEnd w:id="56"/>
      <w:bookmarkEnd w:id="57"/>
      <w:bookmarkEnd w:id="58"/>
      <w:bookmarkEnd w:id="59"/>
      <w:bookmarkEnd w:id="60"/>
    </w:p>
    <w:p w14:paraId="5AD5A8CC">
      <w:pPr>
        <w:tabs>
          <w:tab w:val="left" w:pos="480"/>
        </w:tabs>
        <w:spacing w:line="360" w:lineRule="auto"/>
        <w:ind w:firstLine="480" w:firstLineChars="200"/>
        <w:rPr>
          <w:rFonts w:hint="eastAsia" w:ascii="宋体" w:eastAsia="宋体" w:cs="宋体"/>
          <w:color w:val="auto"/>
          <w:szCs w:val="24"/>
          <w:highlight w:val="none"/>
        </w:rPr>
      </w:pPr>
      <w:bookmarkStart w:id="61" w:name="_Toc24574"/>
      <w:bookmarkStart w:id="62" w:name="_Toc30683"/>
      <w:bookmarkStart w:id="63" w:name="_Toc32274"/>
      <w:bookmarkStart w:id="64" w:name="_Toc13572"/>
      <w:bookmarkStart w:id="65" w:name="_Toc1770"/>
      <w:r>
        <w:rPr>
          <w:rFonts w:hint="eastAsia" w:ascii="宋体" w:eastAsia="宋体" w:cs="宋体"/>
          <w:color w:val="auto"/>
          <w:szCs w:val="24"/>
          <w:highlight w:val="none"/>
          <w:lang w:val="en-US" w:eastAsia="zh-CN"/>
        </w:rPr>
        <w:t>1.</w:t>
      </w:r>
      <w:r>
        <w:rPr>
          <w:rFonts w:hint="eastAsia" w:ascii="宋体" w:eastAsia="宋体" w:cs="宋体"/>
          <w:color w:val="auto"/>
          <w:szCs w:val="24"/>
          <w:highlight w:val="none"/>
        </w:rPr>
        <w:t>按《</w:t>
      </w:r>
      <w:r>
        <w:rPr>
          <w:rFonts w:hint="eastAsia" w:cs="宋体"/>
          <w:color w:val="auto"/>
          <w:szCs w:val="24"/>
          <w:highlight w:val="none"/>
          <w:lang w:val="en-US" w:eastAsia="zh-CN"/>
        </w:rPr>
        <w:t>中华人民共和国</w:t>
      </w:r>
      <w:r>
        <w:rPr>
          <w:rFonts w:hint="eastAsia" w:ascii="宋体" w:eastAsia="宋体" w:cs="宋体"/>
          <w:color w:val="auto"/>
          <w:szCs w:val="24"/>
          <w:highlight w:val="none"/>
        </w:rPr>
        <w:t>民法典》中的相关条款执行。</w:t>
      </w:r>
    </w:p>
    <w:p w14:paraId="7A4F2D2D">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lang w:val="en-US" w:eastAsia="zh-CN"/>
        </w:rPr>
        <w:t>2.</w:t>
      </w:r>
      <w:r>
        <w:rPr>
          <w:rFonts w:hint="eastAsia" w:ascii="宋体" w:eastAsia="宋体" w:cs="宋体"/>
          <w:color w:val="auto"/>
          <w:szCs w:val="24"/>
          <w:highlight w:val="none"/>
        </w:rPr>
        <w:t>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1060682B">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lang w:val="en-US" w:eastAsia="zh-CN"/>
        </w:rPr>
        <w:t>3.</w:t>
      </w:r>
      <w:r>
        <w:rPr>
          <w:rFonts w:hint="eastAsia" w:ascii="宋体" w:eastAsia="宋体" w:cs="宋体"/>
          <w:color w:val="auto"/>
          <w:szCs w:val="24"/>
          <w:highlight w:val="none"/>
        </w:rPr>
        <w:t>由不可抗力因素造成无法按照原计划提供服务，双方互不追究违约责任。</w:t>
      </w:r>
    </w:p>
    <w:p w14:paraId="30AD8C8A">
      <w:pPr>
        <w:tabs>
          <w:tab w:val="left" w:pos="480"/>
        </w:tabs>
        <w:spacing w:line="360" w:lineRule="auto"/>
        <w:ind w:firstLine="480" w:firstLineChars="200"/>
        <w:rPr>
          <w:rFonts w:hint="eastAsia" w:ascii="宋体" w:eastAsia="宋体" w:cs="宋体"/>
          <w:color w:val="auto"/>
          <w:szCs w:val="24"/>
          <w:highlight w:val="none"/>
        </w:rPr>
      </w:pPr>
      <w:r>
        <w:rPr>
          <w:rFonts w:hint="eastAsia" w:ascii="宋体" w:eastAsia="宋体" w:cs="宋体"/>
          <w:color w:val="auto"/>
          <w:szCs w:val="24"/>
          <w:highlight w:val="none"/>
          <w:lang w:val="en-US" w:eastAsia="zh-CN"/>
        </w:rPr>
        <w:t>4.</w:t>
      </w:r>
      <w:r>
        <w:rPr>
          <w:rFonts w:hint="eastAsia" w:ascii="宋体" w:eastAsia="宋体" w:cs="宋体"/>
          <w:color w:val="auto"/>
          <w:szCs w:val="24"/>
          <w:highlight w:val="none"/>
        </w:rPr>
        <w:t>如有异议另行协商。</w:t>
      </w:r>
    </w:p>
    <w:p w14:paraId="5233CB8C">
      <w:pPr>
        <w:tabs>
          <w:tab w:val="left" w:pos="480"/>
        </w:tabs>
        <w:spacing w:line="360" w:lineRule="auto"/>
        <w:outlineLvl w:val="1"/>
        <w:rPr>
          <w:rFonts w:hint="eastAsia" w:cs="宋体"/>
          <w:b/>
          <w:color w:val="auto"/>
          <w:szCs w:val="21"/>
          <w:highlight w:val="none"/>
        </w:rPr>
      </w:pPr>
      <w:r>
        <w:rPr>
          <w:rFonts w:hint="eastAsia" w:cs="宋体"/>
          <w:b/>
          <w:color w:val="auto"/>
          <w:szCs w:val="21"/>
          <w:highlight w:val="none"/>
        </w:rPr>
        <w:t>十二、合同争议解决的方式</w:t>
      </w:r>
      <w:bookmarkEnd w:id="61"/>
      <w:bookmarkEnd w:id="62"/>
      <w:bookmarkEnd w:id="63"/>
      <w:bookmarkEnd w:id="64"/>
      <w:bookmarkEnd w:id="65"/>
    </w:p>
    <w:p w14:paraId="7DE6BF84">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本合同在履行过程中发生的争议，由甲、乙双方当事人协商解决，协商不成的按下列第（  ）种方式解决：</w:t>
      </w:r>
    </w:p>
    <w:p w14:paraId="6DC677A5">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（一）提交</w:t>
      </w:r>
      <w:r>
        <w:rPr>
          <w:rFonts w:hint="eastAsia" w:cs="宋体"/>
          <w:color w:val="auto"/>
          <w:szCs w:val="21"/>
          <w:highlight w:val="none"/>
          <w:u w:val="single"/>
        </w:rPr>
        <w:t xml:space="preserve">  西安</w:t>
      </w:r>
      <w:r>
        <w:rPr>
          <w:rFonts w:hint="eastAsia" w:cs="宋体"/>
          <w:color w:val="auto"/>
          <w:szCs w:val="21"/>
          <w:highlight w:val="none"/>
          <w:u w:val="single"/>
          <w:lang w:val="en-US" w:eastAsia="zh-CN"/>
        </w:rPr>
        <w:t xml:space="preserve">市 </w:t>
      </w:r>
      <w:r>
        <w:rPr>
          <w:rFonts w:hint="eastAsia" w:cs="宋体"/>
          <w:color w:val="auto"/>
          <w:szCs w:val="21"/>
          <w:highlight w:val="none"/>
          <w:u w:val="single"/>
        </w:rPr>
        <w:t xml:space="preserve"> </w:t>
      </w:r>
      <w:r>
        <w:rPr>
          <w:rFonts w:hint="eastAsia" w:cs="宋体"/>
          <w:color w:val="auto"/>
          <w:szCs w:val="21"/>
          <w:highlight w:val="none"/>
        </w:rPr>
        <w:t>仲裁委员会仲裁；</w:t>
      </w:r>
    </w:p>
    <w:p w14:paraId="64361559">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 xml:space="preserve">（二）依法向 </w:t>
      </w:r>
      <w:r>
        <w:rPr>
          <w:rFonts w:hint="eastAsia" w:cs="宋体"/>
          <w:color w:val="auto"/>
          <w:szCs w:val="21"/>
          <w:highlight w:val="none"/>
          <w:u w:val="single"/>
        </w:rPr>
        <w:t xml:space="preserve"> 甲方  </w:t>
      </w:r>
      <w:r>
        <w:rPr>
          <w:rFonts w:hint="eastAsia" w:cs="宋体"/>
          <w:color w:val="auto"/>
          <w:szCs w:val="21"/>
          <w:highlight w:val="none"/>
        </w:rPr>
        <w:t>所在地人民法院起诉。</w:t>
      </w:r>
    </w:p>
    <w:p w14:paraId="345F72CB">
      <w:pPr>
        <w:tabs>
          <w:tab w:val="left" w:pos="480"/>
        </w:tabs>
        <w:spacing w:line="360" w:lineRule="auto"/>
        <w:outlineLvl w:val="1"/>
        <w:rPr>
          <w:rFonts w:hint="eastAsia" w:cs="宋体"/>
          <w:b/>
          <w:color w:val="auto"/>
          <w:szCs w:val="21"/>
          <w:highlight w:val="none"/>
        </w:rPr>
      </w:pPr>
      <w:bookmarkStart w:id="66" w:name="_Toc26586"/>
      <w:bookmarkStart w:id="67" w:name="_Toc18958"/>
      <w:bookmarkStart w:id="68" w:name="_Toc26427"/>
      <w:bookmarkStart w:id="69" w:name="_Toc29954"/>
      <w:bookmarkStart w:id="70" w:name="_Toc15228"/>
      <w:r>
        <w:rPr>
          <w:rFonts w:hint="eastAsia" w:cs="宋体"/>
          <w:b/>
          <w:color w:val="auto"/>
          <w:szCs w:val="21"/>
          <w:highlight w:val="none"/>
        </w:rPr>
        <w:t>十三、合同生效</w:t>
      </w:r>
      <w:bookmarkEnd w:id="66"/>
      <w:bookmarkEnd w:id="67"/>
      <w:bookmarkEnd w:id="68"/>
      <w:bookmarkEnd w:id="69"/>
      <w:bookmarkEnd w:id="70"/>
    </w:p>
    <w:p w14:paraId="0D234F40">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本合同一式</w:t>
      </w:r>
      <w:r>
        <w:rPr>
          <w:rFonts w:hint="eastAsia" w:cs="宋体"/>
          <w:color w:val="auto"/>
          <w:szCs w:val="21"/>
          <w:highlight w:val="none"/>
          <w:u w:val="single"/>
        </w:rPr>
        <w:t xml:space="preserve">   </w:t>
      </w:r>
      <w:r>
        <w:rPr>
          <w:rFonts w:hint="eastAsia" w:cs="宋体"/>
          <w:color w:val="auto"/>
          <w:szCs w:val="21"/>
          <w:highlight w:val="none"/>
        </w:rPr>
        <w:t>份，甲方执</w:t>
      </w:r>
      <w:r>
        <w:rPr>
          <w:rFonts w:hint="eastAsia" w:cs="宋体"/>
          <w:color w:val="auto"/>
          <w:szCs w:val="21"/>
          <w:highlight w:val="none"/>
          <w:u w:val="single"/>
        </w:rPr>
        <w:t xml:space="preserve">   </w:t>
      </w:r>
      <w:r>
        <w:rPr>
          <w:rFonts w:hint="eastAsia" w:cs="宋体"/>
          <w:color w:val="auto"/>
          <w:szCs w:val="21"/>
          <w:highlight w:val="none"/>
        </w:rPr>
        <w:t>份，乙方执</w:t>
      </w:r>
      <w:r>
        <w:rPr>
          <w:rFonts w:hint="eastAsia" w:cs="宋体"/>
          <w:color w:val="auto"/>
          <w:szCs w:val="21"/>
          <w:highlight w:val="none"/>
          <w:u w:val="single"/>
        </w:rPr>
        <w:t xml:space="preserve">    </w:t>
      </w:r>
      <w:r>
        <w:rPr>
          <w:rFonts w:hint="eastAsia" w:cs="宋体"/>
          <w:color w:val="auto"/>
          <w:szCs w:val="21"/>
          <w:highlight w:val="none"/>
        </w:rPr>
        <w:t>份，本合同甲、乙、确认各方签字盖章后生效，合同执行完毕后，自动失效（合同的服务承诺则长期有效）。</w:t>
      </w:r>
    </w:p>
    <w:p w14:paraId="591B3D03">
      <w:pPr>
        <w:tabs>
          <w:tab w:val="left" w:pos="480"/>
        </w:tabs>
        <w:spacing w:line="360" w:lineRule="auto"/>
        <w:outlineLvl w:val="1"/>
        <w:rPr>
          <w:rFonts w:hint="eastAsia" w:cs="宋体"/>
          <w:b/>
          <w:color w:val="auto"/>
          <w:szCs w:val="21"/>
          <w:highlight w:val="none"/>
        </w:rPr>
      </w:pPr>
      <w:bookmarkStart w:id="71" w:name="_Toc25269"/>
      <w:bookmarkStart w:id="72" w:name="_Toc26326"/>
      <w:bookmarkStart w:id="73" w:name="_Toc7095"/>
      <w:bookmarkStart w:id="74" w:name="_Toc5739"/>
      <w:bookmarkStart w:id="75" w:name="_Toc14164"/>
      <w:r>
        <w:rPr>
          <w:rFonts w:hint="eastAsia" w:cs="宋体"/>
          <w:b/>
          <w:color w:val="auto"/>
          <w:szCs w:val="21"/>
          <w:highlight w:val="none"/>
        </w:rPr>
        <w:t>十四、其他事项</w:t>
      </w:r>
      <w:bookmarkEnd w:id="71"/>
      <w:bookmarkEnd w:id="72"/>
      <w:bookmarkEnd w:id="73"/>
      <w:bookmarkEnd w:id="74"/>
      <w:bookmarkEnd w:id="75"/>
    </w:p>
    <w:p w14:paraId="180907B4">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（一）竞争性磋商文件、竞争性磋商响应文件、澄清表（函）、成交通知书、合同附件均成为合同不可分割的部分。</w:t>
      </w:r>
    </w:p>
    <w:p w14:paraId="1F85EC55">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（二）合同未尽事宜，由甲、乙双方协商，经确认后，作为合同补充，与原合同具有同等法律效力。</w:t>
      </w:r>
    </w:p>
    <w:p w14:paraId="0CD71C4A">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（三）合同一经签订，不得擅自变更、中止或终止合同。对确需变更、调整或中止、终止合同的，应按规定履行相应的手续。</w:t>
      </w:r>
    </w:p>
    <w:p w14:paraId="06DE7FB8">
      <w:pPr>
        <w:spacing w:line="360" w:lineRule="auto"/>
        <w:ind w:firstLine="420"/>
        <w:rPr>
          <w:color w:val="auto"/>
          <w:szCs w:val="24"/>
          <w:highlight w:val="none"/>
        </w:rPr>
      </w:pPr>
      <w:r>
        <w:rPr>
          <w:rFonts w:hint="eastAsia"/>
          <w:color w:val="auto"/>
          <w:szCs w:val="24"/>
          <w:highlight w:val="none"/>
        </w:rPr>
        <w:t>（四）执行本合同过程中发生争议，由当事人双方协商解决。协商不成，可向</w:t>
      </w:r>
      <w:r>
        <w:rPr>
          <w:rFonts w:hint="eastAsia"/>
          <w:color w:val="auto"/>
          <w:szCs w:val="24"/>
          <w:highlight w:val="none"/>
          <w:lang w:eastAsia="zh-CN"/>
        </w:rPr>
        <w:t>甲方</w:t>
      </w:r>
      <w:r>
        <w:rPr>
          <w:rFonts w:hint="eastAsia"/>
          <w:color w:val="auto"/>
          <w:szCs w:val="24"/>
          <w:highlight w:val="none"/>
        </w:rPr>
        <w:t>所在地人民法院提起诉讼。</w:t>
      </w:r>
    </w:p>
    <w:p w14:paraId="2E2D7A98">
      <w:pPr>
        <w:spacing w:line="360" w:lineRule="auto"/>
        <w:ind w:firstLine="420"/>
        <w:rPr>
          <w:color w:val="auto"/>
          <w:szCs w:val="24"/>
          <w:highlight w:val="none"/>
        </w:rPr>
      </w:pPr>
      <w:r>
        <w:rPr>
          <w:rFonts w:hint="eastAsia"/>
          <w:color w:val="auto"/>
          <w:szCs w:val="24"/>
          <w:highlight w:val="none"/>
        </w:rPr>
        <w:t>（五）合同执行期内，非法定或合同约定，甲乙双方均不得随意变更或解除合同。未尽事宜，经双方</w:t>
      </w:r>
      <w:r>
        <w:rPr>
          <w:rFonts w:hint="eastAsia"/>
          <w:color w:val="auto"/>
          <w:szCs w:val="24"/>
          <w:highlight w:val="none"/>
          <w:lang w:eastAsia="zh-CN"/>
        </w:rPr>
        <w:t>协商作出</w:t>
      </w:r>
      <w:r>
        <w:rPr>
          <w:rFonts w:hint="eastAsia"/>
          <w:color w:val="auto"/>
          <w:szCs w:val="24"/>
          <w:highlight w:val="none"/>
        </w:rPr>
        <w:t>补充规定，补充规定签字盖章后与本合同具有同等效力。其他未尽事宜，按《中华人民共和国民法典》的有关规定执行。</w:t>
      </w:r>
    </w:p>
    <w:p w14:paraId="29453AB9">
      <w:pPr>
        <w:spacing w:line="360" w:lineRule="auto"/>
        <w:ind w:firstLine="420"/>
        <w:rPr>
          <w:color w:val="auto"/>
          <w:szCs w:val="24"/>
          <w:highlight w:val="none"/>
        </w:rPr>
      </w:pPr>
      <w:r>
        <w:rPr>
          <w:rFonts w:hint="eastAsia"/>
          <w:color w:val="auto"/>
          <w:szCs w:val="24"/>
          <w:highlight w:val="none"/>
        </w:rPr>
        <w:t>（六）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47C2F6C0">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（七）本合同按照中华人民共和国的现行法律进行解释。</w:t>
      </w:r>
    </w:p>
    <w:p w14:paraId="1500AC72">
      <w:pPr>
        <w:rPr>
          <w:rFonts w:hint="eastAsia"/>
          <w:color w:val="auto"/>
          <w:highlight w:val="none"/>
        </w:rPr>
      </w:pPr>
    </w:p>
    <w:p w14:paraId="0395519A">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甲  方（盖章）                            乙  方（盖章）</w:t>
      </w:r>
    </w:p>
    <w:p w14:paraId="103A610A">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单位名称：                                单位名称：</w:t>
      </w:r>
    </w:p>
    <w:p w14:paraId="44B852B9">
      <w:pPr>
        <w:tabs>
          <w:tab w:val="left" w:pos="480"/>
        </w:tabs>
        <w:spacing w:line="360" w:lineRule="auto"/>
        <w:ind w:left="6720" w:leftChars="200" w:hanging="6240" w:hangingChars="2600"/>
        <w:rPr>
          <w:rFonts w:hint="eastAsia" w:cs="宋体"/>
          <w:color w:val="auto"/>
          <w:szCs w:val="21"/>
          <w:highlight w:val="none"/>
        </w:rPr>
      </w:pPr>
      <w:r>
        <w:rPr>
          <w:rFonts w:hint="eastAsia" w:cs="宋体"/>
          <w:color w:val="auto"/>
          <w:szCs w:val="21"/>
          <w:highlight w:val="none"/>
        </w:rPr>
        <w:t>地  址：                                  地  址：</w:t>
      </w:r>
    </w:p>
    <w:p w14:paraId="219257DF">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法定代表人                                法定代表人</w:t>
      </w:r>
    </w:p>
    <w:p w14:paraId="1A11471B">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或委托代理人：                            或委托代理人：</w:t>
      </w:r>
    </w:p>
    <w:p w14:paraId="343BB12E">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 xml:space="preserve">                                          开户银行：</w:t>
      </w:r>
    </w:p>
    <w:p w14:paraId="34876B70">
      <w:pPr>
        <w:tabs>
          <w:tab w:val="left" w:pos="480"/>
        </w:tabs>
        <w:spacing w:line="360" w:lineRule="auto"/>
        <w:ind w:firstLine="5520" w:firstLineChars="2300"/>
        <w:rPr>
          <w:rFonts w:hint="eastAsia" w:cs="宋体"/>
          <w:color w:val="auto"/>
          <w:szCs w:val="21"/>
          <w:highlight w:val="none"/>
        </w:rPr>
      </w:pPr>
      <w:r>
        <w:rPr>
          <w:rFonts w:hint="eastAsia" w:cs="宋体"/>
          <w:color w:val="auto"/>
          <w:szCs w:val="21"/>
          <w:highlight w:val="none"/>
        </w:rPr>
        <w:t xml:space="preserve">账  号：       </w:t>
      </w:r>
    </w:p>
    <w:p w14:paraId="0762407F">
      <w:pPr>
        <w:tabs>
          <w:tab w:val="left" w:pos="480"/>
        </w:tabs>
        <w:spacing w:line="360" w:lineRule="auto"/>
        <w:ind w:firstLine="480" w:firstLineChars="200"/>
        <w:rPr>
          <w:rFonts w:hint="eastAsia" w:cs="宋体"/>
          <w:color w:val="auto"/>
          <w:szCs w:val="21"/>
          <w:highlight w:val="none"/>
        </w:rPr>
      </w:pPr>
      <w:r>
        <w:rPr>
          <w:rFonts w:hint="eastAsia" w:cs="宋体"/>
          <w:color w:val="auto"/>
          <w:szCs w:val="21"/>
          <w:highlight w:val="none"/>
        </w:rPr>
        <w:t>联系电话：                                联系电话：</w:t>
      </w:r>
    </w:p>
    <w:p w14:paraId="741F5516">
      <w:pPr>
        <w:tabs>
          <w:tab w:val="left" w:pos="480"/>
        </w:tabs>
        <w:spacing w:line="360" w:lineRule="auto"/>
        <w:ind w:firstLine="480" w:firstLineChars="200"/>
      </w:pPr>
      <w:r>
        <w:rPr>
          <w:rFonts w:hint="eastAsia" w:cs="宋体"/>
          <w:color w:val="auto"/>
          <w:szCs w:val="21"/>
          <w:highlight w:val="none"/>
        </w:rPr>
        <w:t>签订日期：     年    月      日           签订日期：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DF9338"/>
    <w:multiLevelType w:val="singleLevel"/>
    <w:tmpl w:val="11DF933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YjcyYzk1MzgzYTFlYzdlZWJhMDQ2ZTVmZjkxZTEifQ=="/>
  </w:docVars>
  <w:rsids>
    <w:rsidRoot w:val="57D629DB"/>
    <w:rsid w:val="0CDD2D53"/>
    <w:rsid w:val="0FB72D3D"/>
    <w:rsid w:val="182D1077"/>
    <w:rsid w:val="1B9B1780"/>
    <w:rsid w:val="20621ABD"/>
    <w:rsid w:val="284232D8"/>
    <w:rsid w:val="2BB24980"/>
    <w:rsid w:val="2E7C31D1"/>
    <w:rsid w:val="31D931E9"/>
    <w:rsid w:val="478A34FC"/>
    <w:rsid w:val="4B713A4A"/>
    <w:rsid w:val="4C8E0C24"/>
    <w:rsid w:val="57D629DB"/>
    <w:rsid w:val="59411541"/>
    <w:rsid w:val="5BD50B83"/>
    <w:rsid w:val="5EE455EE"/>
    <w:rsid w:val="68BA4E6C"/>
    <w:rsid w:val="6CB30C91"/>
    <w:rsid w:val="6D5D5725"/>
    <w:rsid w:val="781F2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0"/>
    <w:pPr>
      <w:keepNext/>
      <w:keepLines/>
      <w:widowControl/>
      <w:spacing w:before="260" w:after="260"/>
      <w:ind w:left="284"/>
      <w:jc w:val="left"/>
      <w:outlineLvl w:val="1"/>
    </w:pPr>
    <w:rPr>
      <w:rFonts w:ascii="Arial" w:hAnsi="Arial"/>
      <w:b/>
      <w:bCs/>
      <w:sz w:val="28"/>
      <w:szCs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hAnsi="Times New Roman"/>
      <w:kern w:val="2"/>
      <w:sz w:val="21"/>
    </w:rPr>
  </w:style>
  <w:style w:type="table" w:styleId="5">
    <w:name w:val="Table Grid"/>
    <w:basedOn w:val="4"/>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正文缩进1"/>
    <w:basedOn w:val="1"/>
    <w:qFormat/>
    <w:uiPriority w:val="0"/>
    <w:pPr>
      <w:ind w:firstLine="200" w:firstLineChars="2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2406</Words>
  <Characters>2443</Characters>
  <Lines>0</Lines>
  <Paragraphs>0</Paragraphs>
  <TotalTime>7</TotalTime>
  <ScaleCrop>false</ScaleCrop>
  <LinksUpToDate>false</LinksUpToDate>
  <CharactersWithSpaces>2852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2024-06-27T12:43:00Z</dcterms:created>
  <dc:creator>木子慕</dc:creator>
  <cp:lastModifiedBy>走花路的魔法师</cp:lastModifiedBy>
  <cp:lastPrinted>2024-10-10T03:31:00Z</cp:lastPrinted>
  <dcterms:modified xsi:type="dcterms:W3CDTF">2025-09-30T05:55:39Z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4024270F11EF44F1B28AEA6BF4F5FBD4_13</vt:lpwstr>
  </property>
  <property fmtid="{D5CDD505-2E9C-101B-9397-08002B2CF9AE}" pid="4" name="KSOTemplateDocerSaveRecord">
    <vt:lpwstr>eyJoZGlkIjoiOGVhNDYzM2ZkYzcxMjAwNGNjMDE2ODNjNzFkY2FjNmUiLCJ1c2VySWQiOiIxMzAwNzQ5MTIwIn0=</vt:lpwstr>
  </property>
</Properties>
</file>