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版本号：ZXZB-LHCG-2025-03020251009001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2024-2025年度中省市水利资金绩效评价项目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ZXZB-LHCG-2025-030</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2024-2025年度中省市水利资金绩效评价项目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ZXZB-LHCG-2025-030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2024-2025年度中省市水利资金绩效评价项目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开展全市2024—2025年中省市资金（含大中型水库移民直补资金、中省水利救灾资金）绩效评价，填报相关绩效工作开展数据，编制2024年、2025年中省市水利发展资金绩效评价报告。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采购包1（2024-2025年度中省市水利资金绩效评价项目）：属于专门面向中小企业采购。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p>
      <w:pPr>
        <w:pStyle w:val="null3"/>
      </w:pPr>
      <w:r>
        <w:rPr>
          <w:rFonts w:ascii="仿宋_GB2312" w:hAnsi="仿宋_GB2312" w:cs="仿宋_GB2312" w:eastAsia="仿宋_GB2312"/>
        </w:rPr>
        <w:t>2、供应商授权合法的人员参加投标全过程：法定代表人直接参加磋商的，须出具法定代表人身份证明及法定代表人身份证；法定代表人授权代表参加磋商的，须出具法定代表人授权书及授权代表身份证</w:t>
      </w:r>
    </w:p>
    <w:p>
      <w:pPr>
        <w:pStyle w:val="null3"/>
      </w:pPr>
      <w:r>
        <w:rPr>
          <w:rFonts w:ascii="仿宋_GB2312" w:hAnsi="仿宋_GB2312" w:cs="仿宋_GB2312" w:eastAsia="仿宋_GB2312"/>
        </w:rPr>
        <w:t>3、财务状况报告：提供2024年度的财务会计报告（至少包括资产负债表和利润表，成立时间至提交首次响应文件截止时间不足一年的可提供成立后任意时段的资产负债表），或开标前三个月内基本开户银行出具的资信证明（附基本存款账户信息）</w:t>
      </w:r>
    </w:p>
    <w:p>
      <w:pPr>
        <w:pStyle w:val="null3"/>
      </w:pPr>
      <w:r>
        <w:rPr>
          <w:rFonts w:ascii="仿宋_GB2312" w:hAnsi="仿宋_GB2312" w:cs="仿宋_GB2312" w:eastAsia="仿宋_GB2312"/>
        </w:rPr>
        <w:t>4、税收缴纳证明：提供2025年1月1日至今已缴纳的至少一个月的纳税证明或完税证明，依法免税的单位应提供相关证明材料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6、企业信用：供应商不得为“信用中国”网站（www.creditchina.gov.cn）中列入失信被执行人和重大税收违法案件当事人名单，不得为中国政府采购网（www.ccgp.gov.cn）政府采购严重违法失信行为记录名单</w:t>
      </w:r>
    </w:p>
    <w:p>
      <w:pPr>
        <w:pStyle w:val="null3"/>
      </w:pPr>
      <w:r>
        <w:rPr>
          <w:rFonts w:ascii="仿宋_GB2312" w:hAnsi="仿宋_GB2312" w:cs="仿宋_GB2312" w:eastAsia="仿宋_GB2312"/>
        </w:rPr>
        <w:t>7、违法记录声明：参加政府采购活动前三年内在经营活动中没有重大违法记录的书面承诺</w:t>
      </w:r>
    </w:p>
    <w:p>
      <w:pPr>
        <w:pStyle w:val="null3"/>
      </w:pPr>
      <w:r>
        <w:rPr>
          <w:rFonts w:ascii="仿宋_GB2312" w:hAnsi="仿宋_GB2312" w:cs="仿宋_GB2312" w:eastAsia="仿宋_GB2312"/>
        </w:rPr>
        <w:t>8、履行合同的能力：供应商须提供具有履行合同所必需的设备和专业技术能力的承诺</w:t>
      </w:r>
    </w:p>
    <w:p>
      <w:pPr>
        <w:pStyle w:val="null3"/>
      </w:pPr>
      <w:r>
        <w:rPr>
          <w:rFonts w:ascii="仿宋_GB2312" w:hAnsi="仿宋_GB2312" w:cs="仿宋_GB2312" w:eastAsia="仿宋_GB2312"/>
        </w:rPr>
        <w:t>9、联合体要求：本项目不接受联合体磋商（提供书面声明材料）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029-86787404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 99 号荣民中央国际 10 层 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18091783680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代理服务费收费标准：代理服务费由成交供应商按照国家计委颁布的《招标代理服务收费管理暂行办法》（计价格『2002』1980 号）文中规定的收费标准向采购代理机构一次性全额支付。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各项具体工作的质量标准和作业规范，符合国家法律法规的规定与相关技术标准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联系人：辛工</w:t>
      </w:r>
    </w:p>
    <w:p>
      <w:pPr>
        <w:pStyle w:val="null3"/>
      </w:pPr>
      <w:r>
        <w:rPr>
          <w:rFonts w:ascii="仿宋_GB2312" w:hAnsi="仿宋_GB2312" w:cs="仿宋_GB2312" w:eastAsia="仿宋_GB2312"/>
        </w:rPr>
        <w:t>联系电话：18091783680</w:t>
      </w:r>
    </w:p>
    <w:p>
      <w:pPr>
        <w:pStyle w:val="null3"/>
      </w:pPr>
      <w:r>
        <w:rPr>
          <w:rFonts w:ascii="仿宋_GB2312" w:hAnsi="仿宋_GB2312" w:cs="仿宋_GB2312" w:eastAsia="仿宋_GB2312"/>
        </w:rPr>
        <w:t>地址：陕西省西安市莲湖区未央路 99 号荣民中央国际 10 层 1001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开展全市2024—2025年中省市资金（含大中型水库移民直补资金、中省水利救灾资金）绩效评价，填报相关绩效工作开展数据，编制2024年、2025年中省市水利发展资金绩效评价报告。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编2024-2025年度中省市水利资金绩效评价报告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标的名称：编2024-2025年度中省市水利资金绩效评价报告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收集全市各区县</w:t>
            </w: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2025</w:t>
            </w:r>
            <w:r>
              <w:rPr>
                <w:rFonts w:ascii="仿宋_GB2312" w:hAnsi="仿宋_GB2312" w:cs="仿宋_GB2312" w:eastAsia="仿宋_GB2312"/>
                <w:sz w:val="21"/>
              </w:rPr>
              <w:t>年中省市水利发展资金（含大中型水库移民直补资金、中省水利救灾资金）开展情况，核对资金项目绩效完成情况，核实资金拨付相关凭据，现场核定水利工程建设实施情况，编制《西安市</w:t>
            </w:r>
            <w:r>
              <w:rPr>
                <w:rFonts w:ascii="仿宋_GB2312" w:hAnsi="仿宋_GB2312" w:cs="仿宋_GB2312" w:eastAsia="仿宋_GB2312"/>
                <w:sz w:val="21"/>
              </w:rPr>
              <w:t>2024</w:t>
            </w:r>
            <w:r>
              <w:rPr>
                <w:rFonts w:ascii="仿宋_GB2312" w:hAnsi="仿宋_GB2312" w:cs="仿宋_GB2312" w:eastAsia="仿宋_GB2312"/>
                <w:sz w:val="21"/>
              </w:rPr>
              <w:t>年度中省水利发展资金绩效评价报告》、《西安市</w:t>
            </w:r>
            <w:r>
              <w:rPr>
                <w:rFonts w:ascii="仿宋_GB2312" w:hAnsi="仿宋_GB2312" w:cs="仿宋_GB2312" w:eastAsia="仿宋_GB2312"/>
                <w:sz w:val="21"/>
              </w:rPr>
              <w:t>2025</w:t>
            </w:r>
            <w:r>
              <w:rPr>
                <w:rFonts w:ascii="仿宋_GB2312" w:hAnsi="仿宋_GB2312" w:cs="仿宋_GB2312" w:eastAsia="仿宋_GB2312"/>
                <w:sz w:val="21"/>
              </w:rPr>
              <w:t>年度中省水利发展资金绩效评价报告》、《西安市</w:t>
            </w:r>
            <w:r>
              <w:rPr>
                <w:rFonts w:ascii="仿宋_GB2312" w:hAnsi="仿宋_GB2312" w:cs="仿宋_GB2312" w:eastAsia="仿宋_GB2312"/>
                <w:sz w:val="21"/>
              </w:rPr>
              <w:t>2024</w:t>
            </w:r>
            <w:r>
              <w:rPr>
                <w:rFonts w:ascii="仿宋_GB2312" w:hAnsi="仿宋_GB2312" w:cs="仿宋_GB2312" w:eastAsia="仿宋_GB2312"/>
                <w:sz w:val="21"/>
              </w:rPr>
              <w:t>年度大中型水库移民资金绩效评价报告》、《西安市</w:t>
            </w:r>
            <w:r>
              <w:rPr>
                <w:rFonts w:ascii="仿宋_GB2312" w:hAnsi="仿宋_GB2312" w:cs="仿宋_GB2312" w:eastAsia="仿宋_GB2312"/>
                <w:sz w:val="21"/>
              </w:rPr>
              <w:t>2025</w:t>
            </w:r>
            <w:r>
              <w:rPr>
                <w:rFonts w:ascii="仿宋_GB2312" w:hAnsi="仿宋_GB2312" w:cs="仿宋_GB2312" w:eastAsia="仿宋_GB2312"/>
                <w:sz w:val="21"/>
              </w:rPr>
              <w:t>年度大中型水库移民资金绩效评价报告》、《西安市</w:t>
            </w:r>
            <w:r>
              <w:rPr>
                <w:rFonts w:ascii="仿宋_GB2312" w:hAnsi="仿宋_GB2312" w:cs="仿宋_GB2312" w:eastAsia="仿宋_GB2312"/>
                <w:sz w:val="21"/>
              </w:rPr>
              <w:t>2024</w:t>
            </w:r>
            <w:r>
              <w:rPr>
                <w:rFonts w:ascii="仿宋_GB2312" w:hAnsi="仿宋_GB2312" w:cs="仿宋_GB2312" w:eastAsia="仿宋_GB2312"/>
                <w:sz w:val="21"/>
              </w:rPr>
              <w:t>年度市级水利发展建设专项资金绩效评价报告》、《西安市</w:t>
            </w:r>
            <w:r>
              <w:rPr>
                <w:rFonts w:ascii="仿宋_GB2312" w:hAnsi="仿宋_GB2312" w:cs="仿宋_GB2312" w:eastAsia="仿宋_GB2312"/>
                <w:sz w:val="21"/>
              </w:rPr>
              <w:t>2025</w:t>
            </w:r>
            <w:r>
              <w:rPr>
                <w:rFonts w:ascii="仿宋_GB2312" w:hAnsi="仿宋_GB2312" w:cs="仿宋_GB2312" w:eastAsia="仿宋_GB2312"/>
                <w:sz w:val="21"/>
              </w:rPr>
              <w:t>年度市级水利发展建设专项资金绩效评价报告》、《西安市</w:t>
            </w:r>
            <w:r>
              <w:rPr>
                <w:rFonts w:ascii="仿宋_GB2312" w:hAnsi="仿宋_GB2312" w:cs="仿宋_GB2312" w:eastAsia="仿宋_GB2312"/>
                <w:sz w:val="21"/>
              </w:rPr>
              <w:t>2024</w:t>
            </w:r>
            <w:r>
              <w:rPr>
                <w:rFonts w:ascii="仿宋_GB2312" w:hAnsi="仿宋_GB2312" w:cs="仿宋_GB2312" w:eastAsia="仿宋_GB2312"/>
                <w:sz w:val="21"/>
              </w:rPr>
              <w:t>年度中省水利救灾资金绩效评价报告》、《西安市</w:t>
            </w:r>
            <w:r>
              <w:rPr>
                <w:rFonts w:ascii="仿宋_GB2312" w:hAnsi="仿宋_GB2312" w:cs="仿宋_GB2312" w:eastAsia="仿宋_GB2312"/>
                <w:sz w:val="21"/>
              </w:rPr>
              <w:t>2025</w:t>
            </w:r>
            <w:r>
              <w:rPr>
                <w:rFonts w:ascii="仿宋_GB2312" w:hAnsi="仿宋_GB2312" w:cs="仿宋_GB2312" w:eastAsia="仿宋_GB2312"/>
                <w:sz w:val="21"/>
              </w:rPr>
              <w:t>年度中省水利救灾资金绩效评价报告》。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合同签订后，提交2024年初步成果文件且经市水务局验收合格后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提交2025年成果文件且经市水务局验收合格后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根据合同，按照《中华人民共和国民法典》中的相关条款执行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法定代表人直接参加磋商的，须出具法定代表人身份证明及法定代表人身份证；法定代表人授权代表参加磋商的，须出具法定代表人授权书及授权代表身份证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授权委托书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会计报告（至少包括资产负债表和利润表，成立时间至提交首次响应文件截止时间不足一年的可提供成立后任意时段的资产负债表），或开标前三个月内基本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供应商不得为“信用中国”网站（www.creditchina.gov.cn）中列入失信被执行人和重大税收违法案件当事人名单，不得为中国政府采购网（www.ccgp.gov.cn）政府采购严重违法失信行为记录名单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履行合同的能力</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授权委托书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中小企业声明函 授权委托书 商务应答表 供应商应提交的相关资格证明材料 报价表 响应方案 响应文件封面 供应商认为有必要补充说明的事项 残疾人福利性单位声明函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授权委托书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 未超出采购预算或最高限价。</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技术要求及实际情况进行服务方案编制，服务实施方案详细、完整、可操作性强等，考虑充分。提供的方案详细、合理、全面，根据响应情况得（7-10]分；提供的方案较详细、基本合理，根据响应情况得（3-7]分；提供的方案内容不全面，合理性差，根据响应情况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提出针对于本项目的服务总体计划，内容包含①服务总体设想及目标②服务理念及特色。 全面、可实施性及针对性强得（7-10]分； 较全面、可实施性及针对性较强得（4-7]分； 不全面、可实施性及针对性一般得（1-4]分；未提供不得分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项目各项任务，且项目进度计划符合实际、科学完整，保证措施严谨、周密，得(8-10]分；②能够按时完成各项任务，且项目进度计划安排合理，保证措施得当、可操作，得(6-8]分；③能够按时完成各项任务，但进度计划安排存在局部不足，保证措施有缺漏，但基本可行，得(3-6]分；④能够按时完成各项任务，但进度计划安排不符合实际要求，存在严重不足，保证措施多处有较大的缺陷，可行性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确保服务质量的保障措施，根据供应商的服务机制、工作流程、服务保障以及服务措施是否完善、是否能够充分保证达到项目实施目的等。该项措施详细准确、可行性强、科学合理，针对性强，完全满足本项目需求，得(7-10]分；措施比较详细、基本可行、基本合理，比较有针对性，基本能满足本项目需求，得(4-7]分；措施不够详细，可行性、合理性一般，针对性不够，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重点工作环节实施方法</w:t>
            </w:r>
          </w:p>
        </w:tc>
        <w:tc>
          <w:tcPr>
            <w:tcW w:type="dxa" w:w="2492"/>
          </w:tcPr>
          <w:p>
            <w:pPr>
              <w:pStyle w:val="null3"/>
            </w:pPr>
            <w:r>
              <w:rPr>
                <w:rFonts w:ascii="仿宋_GB2312" w:hAnsi="仿宋_GB2312" w:cs="仿宋_GB2312" w:eastAsia="仿宋_GB2312"/>
              </w:rPr>
              <w:t>重点工作环节全面把握，实施方法科学、合理、可行性强，得（7-10]； 重点工作环节把握较全面，实施方法的科学性、合理性、可行性一般，得（4-7]；重点工作环节把握不清，实施方法的科学性、合理性、可行性较差，得(1-4]；未提供不得分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项目组织机构人员1</w:t>
            </w:r>
          </w:p>
        </w:tc>
        <w:tc>
          <w:tcPr>
            <w:tcW w:type="dxa" w:w="2492"/>
          </w:tcPr>
          <w:p>
            <w:pPr>
              <w:pStyle w:val="null3"/>
            </w:pPr>
            <w:r>
              <w:rPr>
                <w:rFonts w:ascii="仿宋_GB2312" w:hAnsi="仿宋_GB2312" w:cs="仿宋_GB2312" w:eastAsia="仿宋_GB2312"/>
              </w:rPr>
              <w:t>项目拟投入人员包含2名具有中级及以上职称的得4分，每增加一名中级及以上职称人员加1分，满分5分。低于2名或未提供本项不得分。（需提供相关职称证书复印件加盖公章）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项目组织机构人员2</w:t>
            </w:r>
          </w:p>
        </w:tc>
        <w:tc>
          <w:tcPr>
            <w:tcW w:type="dxa" w:w="2492"/>
          </w:tcPr>
          <w:p>
            <w:pPr>
              <w:pStyle w:val="null3"/>
            </w:pPr>
            <w:r>
              <w:rPr>
                <w:rFonts w:ascii="仿宋_GB2312" w:hAnsi="仿宋_GB2312" w:cs="仿宋_GB2312" w:eastAsia="仿宋_GB2312"/>
              </w:rPr>
              <w:t>针对本项目投入的组织机构人员（包括不限于组织架构，人员安排、工作职责等），组织机构设置合理，管理人员及技术人员配备数量充足、人员职责明确、分工清晰合理、相关项目实施经验丰富。满足项目实施要求，无缺陷得10分，每有一项缺陷，扣1分，扣完为止。 （1、须附所有人员开标前六个月内任意一个月的社保证明材料，未提供不得分；2、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突发状况应对措施</w:t>
            </w:r>
          </w:p>
        </w:tc>
        <w:tc>
          <w:tcPr>
            <w:tcW w:type="dxa" w:w="2492"/>
          </w:tcPr>
          <w:p>
            <w:pPr>
              <w:pStyle w:val="null3"/>
            </w:pPr>
            <w:r>
              <w:rPr>
                <w:rFonts w:ascii="仿宋_GB2312" w:hAnsi="仿宋_GB2312" w:cs="仿宋_GB2312" w:eastAsia="仿宋_GB2312"/>
              </w:rPr>
              <w:t>对于项目实施过程中出现突发状况，有具体可行的响应时限和应对措施，能保证项目质量并按时提交项目成果，该项措施详细准确、可行性强、科学合理，针对性强，完全满足本项目需求，得(7-10]分；措施比较详细、基本可行、基本合理，比较有针对性，基本能满足本项目需求，得(4-7]分；措施不够详细，可行性、合理性一般，针对性不够，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2020年10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供应商针对本项目的服务质量、项目的完成是否全面认真、是否派遣人员驻扎现场等方面作出承诺。该项承诺详细、服务全面、科学合理，针对性强，完全满足本项目需求，得(4-5]分；承诺比较详细、基本可行、基本合理，比较有针对性，基本能满足本项目需求，得(2-4]分；承诺不够全面，可行性、合理性一般，针对性不够，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完全满足招标文件实质性要求且报价最低的投标报价为评标基准价，其价格分为满分10分；其他供应商报价得分按以下公式计算：投标报价得分=（评标基准价/投标报价）×10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