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版本号：FYZC-XA-2025-004（CS）20251009001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西安市水土保持区域动态监测项目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FYZC-XA-2025-004（CS）</w:t>
      </w:r>
      <w:r>
        <w:br/>
      </w:r>
      <w:r>
        <w:br/>
      </w:r>
      <w:r>
        <w:br/>
      </w:r>
    </w:p>
    <w:p>
      <w:pPr>
        <w:pStyle w:val="null3"/>
        <w:jc w:val="center"/>
        <w:outlineLvl w:val="2"/>
      </w:pPr>
      <w:r>
        <w:rPr>
          <w:rFonts w:ascii="仿宋_GB2312" w:hAnsi="仿宋_GB2312" w:cs="仿宋_GB2312" w:eastAsia="仿宋_GB2312"/>
          <w:sz w:val="28"/>
          <w:b/>
        </w:rPr>
        <w:t>西安市水利水土保持工作总站</w:t>
      </w:r>
    </w:p>
    <w:p>
      <w:pPr>
        <w:pStyle w:val="null3"/>
        <w:jc w:val="center"/>
        <w:outlineLvl w:val="2"/>
      </w:pPr>
      <w:r>
        <w:rPr>
          <w:rFonts w:ascii="仿宋_GB2312" w:hAnsi="仿宋_GB2312" w:cs="仿宋_GB2312" w:eastAsia="仿宋_GB2312"/>
          <w:sz w:val="28"/>
          <w:b/>
        </w:rPr>
        <w:t>沣禹项目管理咨询有限公司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沣禹项目管理咨询有限公司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西安市水利水土保持工作总站</w:t>
      </w:r>
      <w:r>
        <w:rPr>
          <w:rFonts w:ascii="仿宋_GB2312" w:hAnsi="仿宋_GB2312" w:cs="仿宋_GB2312" w:eastAsia="仿宋_GB2312"/>
        </w:rPr>
        <w:t>委托，拟对</w:t>
      </w:r>
      <w:r>
        <w:rPr>
          <w:rFonts w:ascii="仿宋_GB2312" w:hAnsi="仿宋_GB2312" w:cs="仿宋_GB2312" w:eastAsia="仿宋_GB2312"/>
        </w:rPr>
        <w:t>西安市水土保持区域动态监测项目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FYZC-XA-2025-004（CS）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西安市水土保持区域动态监测项目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水土保持区域动态监测项目包括无人机低空遥感核查、水土保持措施调查、水土流失因子监测、水土保持监测指标论证，气象、遥感影像数据解译、区域监测技术规范编制。主要功能或目标:编制区域水土保持监测实施方案，实践、完善各类监测表格。收集区域水土保持资料，开展区域水土保持本底调查，及时、准确掌握区域生产建设项目水土保持法律法规义务履行情况、水土保持方案落实情况，布设区域水土保持监测点位，开展区域水土保持监测工作，按时报送区域水土保持监测季报表。对水土保持监测指标进行技术试验验证。选取合适的项目对水量平衡及泥沙量情况进行监测探索。探索区域内设置统一的表土、一般土石方堆存场，落实表土剥离、集中堆放、有效利用的工作；同时探索各项目间土石方的平衡调配。通过卫星遥感解译、无人机低空遥感探索、论证相关区域动态监测的方法、内容等。为各建设单位提供项目水土保持设施验收所需要的相关数据。依据区域动态监测数据对《城市生产建设项目水土保持技术规范》（DB6101/T3094-2020）相关内容进行修订、完善。编制《区域水土保持动态监测技术规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采购包1（西安市水土保持区域动态监测项目）：属于专门面向中小企业采购。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2023或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3、履行专业技术能力：提供具有履行本合同所必需的设备和专业技术能力的声明</w:t>
      </w:r>
    </w:p>
    <w:p>
      <w:pPr>
        <w:pStyle w:val="null3"/>
      </w:pPr>
      <w:r>
        <w:rPr>
          <w:rFonts w:ascii="仿宋_GB2312" w:hAnsi="仿宋_GB2312" w:cs="仿宋_GB2312" w:eastAsia="仿宋_GB2312"/>
        </w:rPr>
        <w:t>4、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6、重大违法记录书面声明：参加政府采购活动前3年内，在经营活动中没有重大违法记录（提供书面声明）</w:t>
      </w:r>
    </w:p>
    <w:p>
      <w:pPr>
        <w:pStyle w:val="null3"/>
      </w:pPr>
      <w:r>
        <w:rPr>
          <w:rFonts w:ascii="仿宋_GB2312" w:hAnsi="仿宋_GB2312" w:cs="仿宋_GB2312" w:eastAsia="仿宋_GB2312"/>
        </w:rPr>
        <w:t>7、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10、其他要求：本项目不接受联合体投标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西安市水利水土保持工作总站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陕西省西安市未央区凤锦路58路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西安市水利水土保持工作总站经办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13363983887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沣禹项目管理咨询有限公司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陕西省西安市凤城八路水晶新天地1803室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赵娅琦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15332373965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计价格〔2002〕1980号）、《国家发展和改革委员会办公厅关于招标代理服务收费有关问题的通知》（发改办价格〔2003〕857号）及（发改办价格〔2011〕534号) 规定服务类计取。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西安市水利水土保持工作总站</w:t>
      </w:r>
      <w:r>
        <w:rPr>
          <w:rFonts w:ascii="仿宋_GB2312" w:hAnsi="仿宋_GB2312" w:cs="仿宋_GB2312" w:eastAsia="仿宋_GB2312"/>
        </w:rPr>
        <w:t>和</w:t>
      </w:r>
      <w:r>
        <w:rPr>
          <w:rFonts w:ascii="仿宋_GB2312" w:hAnsi="仿宋_GB2312" w:cs="仿宋_GB2312" w:eastAsia="仿宋_GB2312"/>
        </w:rPr>
        <w:t>沣禹项目管理咨询有限公司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西安市水利水土保持工作总站</w:t>
      </w:r>
      <w:r>
        <w:rPr>
          <w:rFonts w:ascii="仿宋_GB2312" w:hAnsi="仿宋_GB2312" w:cs="仿宋_GB2312" w:eastAsia="仿宋_GB2312"/>
        </w:rPr>
        <w:t>负责解释。除上述磋商文件内容，其他内容由</w:t>
      </w:r>
      <w:r>
        <w:rPr>
          <w:rFonts w:ascii="仿宋_GB2312" w:hAnsi="仿宋_GB2312" w:cs="仿宋_GB2312" w:eastAsia="仿宋_GB2312"/>
        </w:rPr>
        <w:t>沣禹项目管理咨询有限公司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西安市水利水土保持工作总站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符合国家、行业、地方现行合格标准等相关技术规范要求。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联系人：赵娅琦</w:t>
      </w:r>
    </w:p>
    <w:p>
      <w:pPr>
        <w:pStyle w:val="null3"/>
      </w:pPr>
      <w:r>
        <w:rPr>
          <w:rFonts w:ascii="仿宋_GB2312" w:hAnsi="仿宋_GB2312" w:cs="仿宋_GB2312" w:eastAsia="仿宋_GB2312"/>
        </w:rPr>
        <w:t>联系电话：15332373965</w:t>
      </w:r>
    </w:p>
    <w:p>
      <w:pPr>
        <w:pStyle w:val="null3"/>
      </w:pPr>
      <w:r>
        <w:rPr>
          <w:rFonts w:ascii="仿宋_GB2312" w:hAnsi="仿宋_GB2312" w:cs="仿宋_GB2312" w:eastAsia="仿宋_GB2312"/>
        </w:rPr>
        <w:t>地址：陕西省西安市凤城八路水晶新天地1803室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水土保持区域动态监测项目包括无人机低空遥感核查、水土保持措施调查、水土流失因子监测、水土保持监测指标论证，气象、遥感影像数据解译、区域监测技术规范编制。主要功能或目标:编制区域水土保持监测实施方案，实践、完善各类监测表格。收集区域水土保持资料，开展区域水土保持本底调查，及时、准确掌握区域生产建设项目水土保持法律法规义务履行情况、水土保持方案落实情况，布设区域水土保持监测点位，开展区域水土保持监测工作，按时报送区域水土保持监测季报表。对水土保持监测指标进行技术试验验证。选取合适的项目对水量平衡及泥沙量情况进行监测探索。探索区域内设置统一的表土、一般土石方堆存场，落实表土剥离、集中堆放、有效利用的工作；同时探索各项目间土石方的平衡调配。通过卫星遥感解译、无人机低空遥感探索、论证相关区域动态监测的方法、内容等。为各建设单位提供项目水土保持设施验收所需要的相关数据。依据区域动态监测数据对《城市生产建设项目水土保持技术规范》（DB6101/T3094-2020）相关内容进行修订、完善。编制《区域水土保持动态监测技术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532,000.00</w:t>
      </w:r>
    </w:p>
    <w:p>
      <w:pPr>
        <w:pStyle w:val="null3"/>
      </w:pPr>
      <w:r>
        <w:rPr>
          <w:rFonts w:ascii="仿宋_GB2312" w:hAnsi="仿宋_GB2312" w:cs="仿宋_GB2312" w:eastAsia="仿宋_GB2312"/>
        </w:rPr>
        <w:t>采购包最高限价（元）: 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2025年西安市水土保持区域动态监测项目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标的名称：2025年西安市水土保持区域动态监测项目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包括无人机低空遥感核查、水土保持措施调查、水土流失因子监测、水土保持监测指标论证，气象、遥感影像数据解译、区域监测技术规范编制。主要功能或目标:编制区域水土保持监测实施方案，实践、完善各类监测表格。收集区域水土保持资料，开展区域水土保持本底调查，及时、准确掌握区域生产建设项目水土保持法律法规义务履行情况、水土保持方案落实情况，布设区域水土保持监测点位，开展区域水土保持监测工作，按时报送区域水土保持监测季报表。对水土保持监测指标进行技术试验验证。选取合适的项目对水量平衡及泥沙量情况进行监测探索。探索区域内设置统一的表土、一般土石方堆存场，落实表土剥离、集中堆放、有效利用的工作；同时探索各项目间土石方的平衡调配。通过卫星遥感解译、无人机低空遥感探索、论证相关区域动态监测的方法、内容等。为各建设单位提供项目水土保持设施验收所需要的相关数据。依据区域动态监测数据对《城市生产建设项目水土保持技术规范》（DB6101/T3094-2020）相关内容进行修订、完善。编制《区域水土保持动态监测技术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针对本项目提供明确的项目团队人员，要求人员为供应商在职人员，具体详见评审细则及标准。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1.采购活动受国家法律保护和约束。双方遵守法律、法规和职业道德，凡在磋商过程中弄虚作假，一经查出，追究责任方 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 法实施条例》及有关规定执行。 4.成交单位不得对服务业务分包或转包。否则采购人有权终止合同，成交单位要承担由此造 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在本项目数据采集任务完成后，经自检合格后，乙方向甲方提交项目成果和监测过程资料在内的所有材料，经甲方确认材料齐全、符合相关要求由甲方组织验收。（2）验收方法：乙方提交相关资料、提出验收申请，经甲方初步审核且达到验收条件，由甲方组织、聘请专家进行项目验收。（3）如通过验收，乙方应自通过之日起20日内向甲方提交项目全部成果及相关材料。（4）如未通过验收，由此给甲方带来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提供项目实施方案和区域监测技术规范草稿</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验收合格且资金到账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交的成果必须符合本合同的相关规定，未达到要求的，应按合同标的总金额百分之十向甲方支付违约金，经甲方要求整改后的30日内或甲方确定的其他期限内仍未达到要求，进而导致无法通过项目验收的，甲方有权解除合同，乙方还应同时返还甲方已支付的款项。2.乙方如未能按期提交项目成果，每延迟一日应按合同标的总金额千分之一向甲方支付迟延违约金。违约金首先从甲方未支付的项目款项中扣除。乙方逾期超过30日的，甲方有权要求解除合同，并有权要求乙方支付本合同总金额的20%违约金和承担甲方因此遭受的其他直接损失。3.乙方未按合同要求履行义务，且经甲方要求仍拒不改正的，应按合同标的总金额百分之十向甲方支付违约金。如拒不改正的部分或程度等导致本合同目的无法实现的，甲方有权解除合同，乙方还应同时返还甲方已支付的款项。4.争议解决和补充协议 因本合同产生或与本合同有关的任何争议，甲乙双方应协商解决，协商不成的依法向甲方所在地人民法院起诉。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成交供应商在领取成交通知书时，递交一正两副纸质版磋商响应文件。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或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服务内容及服务邀请应答表 人员配备.docx 中小企业声明函 商务应答表 报价表 响应文件封面 供应商应提交的相关资格证明材料.docx 供应商认为有必要补充说明的事项.docx 费用组成明细表.docx 残疾人福利性单位声明函 服务方案 标的清单 响应函 监狱企业的证明文件 公司业绩.docx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服务内容及服务邀请应答表 人员配备.docx 中小企业声明函 商务应答表 报价表 响应文件封面 供应商应提交的相关资格证明材料.docx 供应商认为有必要补充说明的事项.docx 费用组成明细表.docx 残疾人福利性单位声明函 服务方案 标的清单 响应函 监狱企业的证明文件 公司业绩.docx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特性了解透彻，方案内容全面，方案先进、经济、规划合理，根据响应情况计7～10分；对本项目特性了解基本透彻，方案具有一定的合理性和可行性，对项目实施可起到一定指导作用的,根据响应情况计4～7分；方案思路不清晰、合理性和可行性较差，影响项目实施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项目实施细则</w:t>
            </w:r>
          </w:p>
        </w:tc>
        <w:tc>
          <w:tcPr>
            <w:tcW w:type="dxa" w:w="2492"/>
          </w:tcPr>
          <w:p>
            <w:pPr>
              <w:pStyle w:val="null3"/>
            </w:pPr>
            <w:r>
              <w:rPr>
                <w:rFonts w:ascii="仿宋_GB2312" w:hAnsi="仿宋_GB2312" w:cs="仿宋_GB2312" w:eastAsia="仿宋_GB2312"/>
              </w:rPr>
              <w:t>熟悉区域动态监测工作，对编制技术规范操作论述详细、清晰的，根据响应情况 计7～10分；基本掌握区域动态监测工作，对编制技术规范有论述的，根据响应情况计4～7分；监测方法不合理，未掌握区域动态监测工作，对编制技术规范没有论述的，根据响应情况计1～4分，缺项不计分。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监测设备和材料投入</w:t>
            </w:r>
          </w:p>
        </w:tc>
        <w:tc>
          <w:tcPr>
            <w:tcW w:type="dxa" w:w="2492"/>
          </w:tcPr>
          <w:p>
            <w:pPr>
              <w:pStyle w:val="null3"/>
            </w:pPr>
            <w:r>
              <w:rPr>
                <w:rFonts w:ascii="仿宋_GB2312" w:hAnsi="仿宋_GB2312" w:cs="仿宋_GB2312" w:eastAsia="仿宋_GB2312"/>
              </w:rPr>
              <w:t>监测设备型号、精度、数量和材料 投入配备合理的，根据响应情况计 7～10分；监测设备型号、精度、数量和材料投入配备基本合理的，根据响应情况计4～7分；监测设备型号、精度、数量和材料投入配备不合理的，根据响应情况计1～4分,缺项不计分。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质量管理与各项保证措施</w:t>
            </w:r>
          </w:p>
        </w:tc>
        <w:tc>
          <w:tcPr>
            <w:tcW w:type="dxa" w:w="2492"/>
          </w:tcPr>
          <w:p>
            <w:pPr>
              <w:pStyle w:val="null3"/>
            </w:pPr>
            <w:r>
              <w:rPr>
                <w:rFonts w:ascii="仿宋_GB2312" w:hAnsi="仿宋_GB2312" w:cs="仿宋_GB2312" w:eastAsia="仿宋_GB2312"/>
              </w:rPr>
              <w:t>质量管理与各项保证措施完善的，根据响应情况计9～13分；质量管理与各项保证措施基本完善的，根据响应情况计5～9分；质量管理与各项保证措施不完善的，根据响应情况计1～5分，缺项不计分。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对项目各阶段进度控制方法和措施、工作流程描述完整、科学、可行,进度控制方法和措施完整，科学、可行计7～10分；进度控制方法和措施较完整，科学、可行性一般计4～7分；进度控制方法和措施较差，科学、可行性较差计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对项目的建议合理可行，具有建设性，满足项目需要，根据响应情况计7～10分；项目的建议基本合理可行，建设性一般，基本满足项目需要，根据响应情况计4～7分；对项目的建议不合理，建设性较差，不满足项目需要，根据响应情况计 1～4分，缺项不计分。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1.针对本项目设立工作小组，提供项目组织架构图，详细介绍组成人员及岗位、职责，根据响应情况计1～8分；未提供不计分。 2.项目组成员职称证书、学历证书齐全，岗位配置明确、合理根据其响应程度计0～3分； 3.项目组成员每配备1名水土保持高级职称的计1分，最多计2分，每配备1名水土保持专业中级职称的计0.5分，最多计2分。此项最多计4分。(以上人员提供职称证书复印件加盖公章)； 注：以响应文件中提供的证明材料为准，复印件须清晰可辨，复印件模糊无法辨认的不予赋分。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针对本项目实际情况及采购人实际需求提供可行的应急预案，按其响应程度计1～5分。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供应商具有2022年8月至今(以合同签订时间为准)的同类项目业绩，每提供一个计1.75分，满分7分。 注：供应商响应文件中提供复印件 加盖供应商公章，不提供者不计分。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满足磋商文件要求且最终报价最低的供应商的价格为磋商基准价，其价格分为满分。其他供应商的价格统一按照下列公式计算：磋商报价得分=（磋商基准价/最终磋商报价）×价格权值×100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详见附件：公司业绩.docx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