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版本号：SXZCZB2025-ZCCS-072120250904001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2025年军休干部研学活动</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SXZCZB2025-ZCCS-0721</w:t>
      </w:r>
      <w:r>
        <w:br/>
      </w:r>
      <w:r>
        <w:br/>
      </w:r>
      <w:r>
        <w:br/>
      </w:r>
    </w:p>
    <w:p>
      <w:pPr>
        <w:pStyle w:val="null3"/>
        <w:jc w:val="center"/>
        <w:outlineLvl w:val="2"/>
      </w:pPr>
      <w:r>
        <w:rPr>
          <w:rFonts w:ascii="仿宋_GB2312" w:hAnsi="仿宋_GB2312" w:cs="仿宋_GB2312" w:eastAsia="仿宋_GB2312"/>
          <w:sz w:val="28"/>
          <w:b/>
        </w:rPr>
        <w:t>西安市军队离休退休干部管理服务中心</w:t>
      </w:r>
    </w:p>
    <w:p>
      <w:pPr>
        <w:pStyle w:val="null3"/>
        <w:jc w:val="center"/>
        <w:outlineLvl w:val="2"/>
      </w:pPr>
      <w:r>
        <w:rPr>
          <w:rFonts w:ascii="仿宋_GB2312" w:hAnsi="仿宋_GB2312" w:cs="仿宋_GB2312" w:eastAsia="仿宋_GB2312"/>
          <w:sz w:val="28"/>
          <w:b/>
        </w:rPr>
        <w:t>陕西至诚项目管理集团有限公司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陕西至诚项目管理集团有限公司</w:t>
      </w:r>
      <w:r>
        <w:rPr>
          <w:rFonts w:ascii="仿宋_GB2312" w:hAnsi="仿宋_GB2312" w:cs="仿宋_GB2312" w:eastAsia="仿宋_GB2312"/>
        </w:rPr>
        <w:t>（以下简称“代理机构”）受</w:t>
      </w:r>
      <w:r>
        <w:rPr>
          <w:rFonts w:ascii="仿宋_GB2312" w:hAnsi="仿宋_GB2312" w:cs="仿宋_GB2312" w:eastAsia="仿宋_GB2312"/>
        </w:rPr>
        <w:t>西安市军队离休退休干部管理服务中心</w:t>
      </w:r>
      <w:r>
        <w:rPr>
          <w:rFonts w:ascii="仿宋_GB2312" w:hAnsi="仿宋_GB2312" w:cs="仿宋_GB2312" w:eastAsia="仿宋_GB2312"/>
        </w:rPr>
        <w:t>委托，拟对</w:t>
      </w:r>
      <w:r>
        <w:rPr>
          <w:rFonts w:ascii="仿宋_GB2312" w:hAnsi="仿宋_GB2312" w:cs="仿宋_GB2312" w:eastAsia="仿宋_GB2312"/>
        </w:rPr>
        <w:t>2025年军休干部研学活动</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SXZCZB2025-ZCCS-0721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2025年军休干部研学活动</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2025年军休干部研学活动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采购包1（2025年军休干部研学活动）：属于专门面向中小企业采购。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营业执照：具有独立承担民事责任能力的法人、其他组织或自然人，并出具合法有效的统一社会信用代码的营业执照或事业单位法人证书等国家规定的相关证明，自然人参与的提供其身份证明；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2、法定代表人授权书：提供法定代表人授权书（附法定代表人、被授权人身份证复印件），法定代表人直接参加投标，须提供法定代表人身份证明及身份证复印件；</w:t>
      </w:r>
    </w:p>
    <w:p>
      <w:pPr>
        <w:pStyle w:val="null3"/>
      </w:pPr>
      <w:r>
        <w:rPr>
          <w:rFonts w:ascii="仿宋_GB2312" w:hAnsi="仿宋_GB2312" w:cs="仿宋_GB2312" w:eastAsia="仿宋_GB2312"/>
        </w:rPr>
        <w:t>3、财务审计报告：提供2024年度的财务审计报告（成立时间至提交响应文件截止时间不足一年的可提供成立后任意时段的资产负债表），或开标时间前六个月内银行出具的资信证明；</w:t>
      </w:r>
    </w:p>
    <w:p>
      <w:pPr>
        <w:pStyle w:val="null3"/>
      </w:pPr>
      <w:r>
        <w:rPr>
          <w:rFonts w:ascii="仿宋_GB2312" w:hAnsi="仿宋_GB2312" w:cs="仿宋_GB2312" w:eastAsia="仿宋_GB2312"/>
        </w:rPr>
        <w:t>4、税收缴纳证明：提供近一年内至今已缴纳任意一个月的纳税证明或完税证明（任意税种），依法免税的单位应提供相关证明材料；</w:t>
      </w:r>
    </w:p>
    <w:p>
      <w:pPr>
        <w:pStyle w:val="null3"/>
      </w:pPr>
      <w:r>
        <w:rPr>
          <w:rFonts w:ascii="仿宋_GB2312" w:hAnsi="仿宋_GB2312" w:cs="仿宋_GB2312" w:eastAsia="仿宋_GB2312"/>
        </w:rPr>
        <w:t>5、社会保障资金缴纳证明：提供近一年内至今已缴纳任意一个月的社会保障资金缴存单据或社保机构开具的社会保险参保缴费情况证明，依法不需要缴纳社会保障资金的单位应提供相关证明材料；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6、相关主体信用记录：供应商通过“信用中国”网站(www.creditchina.gov.cn)、中国政府采购网(www.ccgp.gov.cn)等查询相关主体信用记录；</w:t>
      </w:r>
    </w:p>
    <w:p>
      <w:pPr>
        <w:pStyle w:val="null3"/>
      </w:pPr>
      <w:r>
        <w:rPr>
          <w:rFonts w:ascii="仿宋_GB2312" w:hAnsi="仿宋_GB2312" w:cs="仿宋_GB2312" w:eastAsia="仿宋_GB2312"/>
        </w:rPr>
        <w:t>7、书面声明：参加政府采购活动前3年内，在经营活动中没有重大违法记录的书面声明；</w:t>
      </w:r>
    </w:p>
    <w:p>
      <w:pPr>
        <w:pStyle w:val="null3"/>
      </w:pPr>
      <w:r>
        <w:rPr>
          <w:rFonts w:ascii="仿宋_GB2312" w:hAnsi="仿宋_GB2312" w:cs="仿宋_GB2312" w:eastAsia="仿宋_GB2312"/>
        </w:rPr>
        <w:t>8、履约承诺：提供具有履行本合同所必需的设备和专业技术能力的说明及承诺书；</w:t>
      </w:r>
    </w:p>
    <w:p>
      <w:pPr>
        <w:pStyle w:val="null3"/>
      </w:pPr>
      <w:r>
        <w:rPr>
          <w:rFonts w:ascii="仿宋_GB2312" w:hAnsi="仿宋_GB2312" w:cs="仿宋_GB2312" w:eastAsia="仿宋_GB2312"/>
        </w:rPr>
        <w:t>9、中小企业声明函：本采购包专门面向中小企业采购（提供中小企业声明函）；</w:t>
      </w:r>
    </w:p>
    <w:p>
      <w:pPr>
        <w:pStyle w:val="null3"/>
      </w:pPr>
      <w:r>
        <w:rPr>
          <w:rFonts w:ascii="仿宋_GB2312" w:hAnsi="仿宋_GB2312" w:cs="仿宋_GB2312" w:eastAsia="仿宋_GB2312"/>
        </w:rPr>
        <w:t>10、资质证书：供应商须具备相关主管部门颁发的《旅行社业务经营许可证》；</w:t>
      </w:r>
    </w:p>
    <w:p>
      <w:pPr>
        <w:pStyle w:val="null3"/>
      </w:pPr>
      <w:r>
        <w:rPr>
          <w:rFonts w:ascii="仿宋_GB2312" w:hAnsi="仿宋_GB2312" w:cs="仿宋_GB2312" w:eastAsia="仿宋_GB2312"/>
        </w:rPr>
        <w:t>11、非联合体承诺：本项目不接受联合体磋商（提供承诺书）。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西安市军队离休退休干部管理服务中心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西安市曲江大道70号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81546882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陕西至诚项目管理集团有限公司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陕西省西安市经济技术开发区未央路171-1号银池道拉斯财富中心21楼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胡晓均、倪沛、王欣玫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029-88219779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国家计委颁发的《招标代理服务收费管理暂行办法》（计价格[2002]1980号）和国家和发展改革委员会办公厅颁发的《关于招标代理服务收费有关问题的通知》（发改办价格[2003]857号）的有关规定执行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西安市军队离休退休干部管理服务中心</w:t>
      </w:r>
      <w:r>
        <w:rPr>
          <w:rFonts w:ascii="仿宋_GB2312" w:hAnsi="仿宋_GB2312" w:cs="仿宋_GB2312" w:eastAsia="仿宋_GB2312"/>
        </w:rPr>
        <w:t>和</w:t>
      </w:r>
      <w:r>
        <w:rPr>
          <w:rFonts w:ascii="仿宋_GB2312" w:hAnsi="仿宋_GB2312" w:cs="仿宋_GB2312" w:eastAsia="仿宋_GB2312"/>
        </w:rPr>
        <w:t>陕西至诚项目管理集团有限公司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西安市军队离休退休干部管理服务中心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陕西至诚项目管理集团有限公司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西安市军队离休退休干部管理服务中心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陕西至诚项目管理集团有限公司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联系人：胡晓均、倪沛、王欣玫</w:t>
      </w:r>
    </w:p>
    <w:p>
      <w:pPr>
        <w:pStyle w:val="null3"/>
      </w:pPr>
      <w:r>
        <w:rPr>
          <w:rFonts w:ascii="仿宋_GB2312" w:hAnsi="仿宋_GB2312" w:cs="仿宋_GB2312" w:eastAsia="仿宋_GB2312"/>
        </w:rPr>
        <w:t>联系电话：029-88219779</w:t>
      </w:r>
    </w:p>
    <w:p>
      <w:pPr>
        <w:pStyle w:val="null3"/>
      </w:pPr>
      <w:r>
        <w:rPr>
          <w:rFonts w:ascii="仿宋_GB2312" w:hAnsi="仿宋_GB2312" w:cs="仿宋_GB2312" w:eastAsia="仿宋_GB2312"/>
        </w:rPr>
        <w:t>地址：陕西省西安市经济技术开发区未央路171-1号银池道拉斯财富中心21楼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 2025年军休干部研学活动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军休干部研学活动</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标的名称：军休干部研学活动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w:t>
            </w:r>
            <w:r>
              <w:rPr>
                <w:rFonts w:ascii="仿宋_GB2312" w:hAnsi="仿宋_GB2312" w:cs="仿宋_GB2312" w:eastAsia="仿宋_GB2312"/>
                <w:sz w:val="24"/>
                <w:b/>
              </w:rPr>
              <w:t>项目概况</w:t>
            </w:r>
          </w:p>
          <w:p>
            <w:pPr>
              <w:pStyle w:val="null3"/>
              <w:ind w:firstLine="480"/>
              <w:jc w:val="both"/>
            </w:pPr>
            <w:r>
              <w:rPr>
                <w:rFonts w:ascii="仿宋_GB2312" w:hAnsi="仿宋_GB2312" w:cs="仿宋_GB2312" w:eastAsia="仿宋_GB2312"/>
                <w:sz w:val="24"/>
              </w:rPr>
              <w:t>根据中办发</w:t>
            </w:r>
            <w:r>
              <w:rPr>
                <w:rFonts w:ascii="仿宋_GB2312" w:hAnsi="仿宋_GB2312" w:cs="仿宋_GB2312" w:eastAsia="仿宋_GB2312"/>
                <w:sz w:val="24"/>
              </w:rPr>
              <w:t>[2004]2号文件《关于进一步做好军队离休退休干部移交政府安置管理工作的意见》要求，开展军休干部研学活动既是落实军休干部生活待遇的要求，又是保持军休干部思想常新、与时俱进的一项重要的政治任务。此项活动是各地军休机构多年来约定成俗的一项重要活动，是军休中心每年度参与最广、好评最高的一项活动，更是丰富军休干部精神文化生活和促进军休队伍和谐稳定不可或缺的重要组成部分。</w:t>
            </w:r>
          </w:p>
          <w:p>
            <w:pPr>
              <w:pStyle w:val="null3"/>
              <w:jc w:val="both"/>
            </w:pPr>
            <w:r>
              <w:rPr>
                <w:rFonts w:ascii="仿宋_GB2312" w:hAnsi="仿宋_GB2312" w:cs="仿宋_GB2312" w:eastAsia="仿宋_GB2312"/>
                <w:sz w:val="24"/>
                <w:b/>
              </w:rPr>
              <w:t>二、</w:t>
            </w:r>
            <w:r>
              <w:rPr>
                <w:rFonts w:ascii="仿宋_GB2312" w:hAnsi="仿宋_GB2312" w:cs="仿宋_GB2312" w:eastAsia="仿宋_GB2312"/>
                <w:sz w:val="24"/>
                <w:b/>
              </w:rPr>
              <w:t>活动路线及</w:t>
            </w:r>
            <w:r>
              <w:rPr>
                <w:rFonts w:ascii="仿宋_GB2312" w:hAnsi="仿宋_GB2312" w:cs="仿宋_GB2312" w:eastAsia="仿宋_GB2312"/>
                <w:sz w:val="24"/>
                <w:b/>
              </w:rPr>
              <w:t>单价限价</w:t>
            </w:r>
          </w:p>
          <w:tbl>
            <w:tblPr>
              <w:tblBorders>
                <w:top w:val="none" w:color="000000" w:sz="4"/>
                <w:left w:val="none" w:color="000000" w:sz="4"/>
                <w:bottom w:val="none" w:color="000000" w:sz="4"/>
                <w:right w:val="none" w:color="000000" w:sz="4"/>
                <w:insideH w:val="none"/>
                <w:insideV w:val="none"/>
              </w:tblBorders>
            </w:tblPr>
            <w:tblGrid>
              <w:gridCol w:w="145"/>
              <w:gridCol w:w="312"/>
              <w:gridCol w:w="221"/>
              <w:gridCol w:w="235"/>
              <w:gridCol w:w="1225"/>
              <w:gridCol w:w="416"/>
            </w:tblGrid>
            <w:tr>
              <w:tc>
                <w:tcPr>
                  <w:tcW w:type="dxa" w:w="1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3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线路</w:t>
                  </w:r>
                </w:p>
              </w:tc>
              <w:tc>
                <w:tcPr>
                  <w:tcW w:type="dxa" w:w="2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天数</w:t>
                  </w:r>
                </w:p>
              </w:tc>
              <w:tc>
                <w:tcPr>
                  <w:tcW w:type="dxa" w:w="2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交通</w:t>
                  </w:r>
                </w:p>
              </w:tc>
              <w:tc>
                <w:tcPr>
                  <w:tcW w:type="dxa" w:w="12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线路</w:t>
                  </w:r>
                </w:p>
              </w:tc>
              <w:tc>
                <w:tcPr>
                  <w:tcW w:type="dxa" w:w="4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单价限价（元</w:t>
                  </w:r>
                  <w:r>
                    <w:rPr>
                      <w:rFonts w:ascii="仿宋_GB2312" w:hAnsi="仿宋_GB2312" w:cs="仿宋_GB2312" w:eastAsia="仿宋_GB2312"/>
                      <w:sz w:val="24"/>
                    </w:rPr>
                    <w:t>/人）</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汉中兴汉胜境</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2天</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动车</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40"/>
                    <w:jc w:val="center"/>
                  </w:pPr>
                  <w:r>
                    <w:rPr>
                      <w:rFonts w:ascii="仿宋_GB2312" w:hAnsi="仿宋_GB2312" w:cs="仿宋_GB2312" w:eastAsia="仿宋_GB2312"/>
                      <w:sz w:val="24"/>
                    </w:rPr>
                    <w:t>汉中市博物馆</w:t>
                  </w:r>
                  <w:r>
                    <w:rPr>
                      <w:rFonts w:ascii="仿宋_GB2312" w:hAnsi="仿宋_GB2312" w:cs="仿宋_GB2312" w:eastAsia="仿宋_GB2312"/>
                      <w:sz w:val="24"/>
                    </w:rPr>
                    <w:t>—兴汉胜境—汉颂演艺—武侯祠—红四方面陕南战役纪念馆</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1150</w:t>
                  </w:r>
                  <w:r>
                    <w:rPr>
                      <w:rFonts w:ascii="仿宋_GB2312" w:hAnsi="仿宋_GB2312" w:cs="仿宋_GB2312" w:eastAsia="仿宋_GB2312"/>
                      <w:sz w:val="24"/>
                    </w:rPr>
                    <w:t>.00</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汉中华阳古镇</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2天</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动车</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华阳古镇</w:t>
                  </w:r>
                  <w:r>
                    <w:rPr>
                      <w:rFonts w:ascii="仿宋_GB2312" w:hAnsi="仿宋_GB2312" w:cs="仿宋_GB2312" w:eastAsia="仿宋_GB2312"/>
                      <w:sz w:val="24"/>
                    </w:rPr>
                    <w:t>—龙吟峡景区—红二十五军司令部旧址</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1030</w:t>
                  </w:r>
                  <w:r>
                    <w:rPr>
                      <w:rFonts w:ascii="仿宋_GB2312" w:hAnsi="仿宋_GB2312" w:cs="仿宋_GB2312" w:eastAsia="仿宋_GB2312"/>
                      <w:sz w:val="24"/>
                    </w:rPr>
                    <w:t>.00</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延安壶口</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2天</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大巴</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壶口瀑布</w:t>
                  </w:r>
                  <w:r>
                    <w:rPr>
                      <w:rFonts w:ascii="仿宋_GB2312" w:hAnsi="仿宋_GB2312" w:cs="仿宋_GB2312" w:eastAsia="仿宋_GB2312"/>
                      <w:sz w:val="24"/>
                    </w:rPr>
                    <w:t>—南泥湾—黄帝陵—洛川会议旧址</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910</w:t>
                  </w:r>
                  <w:r>
                    <w:rPr>
                      <w:rFonts w:ascii="仿宋_GB2312" w:hAnsi="仿宋_GB2312" w:cs="仿宋_GB2312" w:eastAsia="仿宋_GB2312"/>
                      <w:sz w:val="24"/>
                    </w:rPr>
                    <w:t>.00</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宝鸡</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2天</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大巴</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扶眉战役纪念馆</w:t>
                  </w:r>
                  <w:r>
                    <w:rPr>
                      <w:rFonts w:ascii="仿宋_GB2312" w:hAnsi="仿宋_GB2312" w:cs="仿宋_GB2312" w:eastAsia="仿宋_GB2312"/>
                      <w:sz w:val="24"/>
                    </w:rPr>
                    <w:t>—青峰峡—周公庙</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830</w:t>
                  </w:r>
                  <w:r>
                    <w:rPr>
                      <w:rFonts w:ascii="仿宋_GB2312" w:hAnsi="仿宋_GB2312" w:cs="仿宋_GB2312" w:eastAsia="仿宋_GB2312"/>
                      <w:sz w:val="24"/>
                    </w:rPr>
                    <w:t>.00</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安康旬阳</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2天</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动车</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蜀河古镇</w:t>
                  </w:r>
                  <w:r>
                    <w:rPr>
                      <w:rFonts w:ascii="仿宋_GB2312" w:hAnsi="仿宋_GB2312" w:cs="仿宋_GB2312" w:eastAsia="仿宋_GB2312"/>
                      <w:sz w:val="24"/>
                    </w:rPr>
                    <w:t>—太极城森林公园—旬阳文庙—航运博物馆</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930</w:t>
                  </w:r>
                  <w:r>
                    <w:rPr>
                      <w:rFonts w:ascii="仿宋_GB2312" w:hAnsi="仿宋_GB2312" w:cs="仿宋_GB2312" w:eastAsia="仿宋_GB2312"/>
                      <w:sz w:val="24"/>
                    </w:rPr>
                    <w:t>.00</w:t>
                  </w:r>
                </w:p>
              </w:tc>
            </w:tr>
          </w:tbl>
          <w:p>
            <w:pPr>
              <w:pStyle w:val="null3"/>
              <w:ind w:firstLine="482"/>
              <w:jc w:val="both"/>
            </w:pPr>
            <w:r>
              <w:rPr>
                <w:rFonts w:ascii="仿宋_GB2312" w:hAnsi="仿宋_GB2312" w:cs="仿宋_GB2312" w:eastAsia="仿宋_GB2312"/>
                <w:sz w:val="24"/>
                <w:b/>
              </w:rPr>
              <w:t>注：以上地点采取由军休干部以支部为单位，自由选择一个地点的方式进行安排，每个地点行程</w:t>
            </w:r>
            <w:r>
              <w:rPr>
                <w:rFonts w:ascii="仿宋_GB2312" w:hAnsi="仿宋_GB2312" w:cs="仿宋_GB2312" w:eastAsia="仿宋_GB2312"/>
                <w:sz w:val="24"/>
                <w:b/>
              </w:rPr>
              <w:t>2天。</w:t>
            </w:r>
          </w:p>
          <w:p>
            <w:pPr>
              <w:pStyle w:val="null3"/>
              <w:ind w:firstLine="482"/>
              <w:jc w:val="both"/>
            </w:pPr>
            <w:r>
              <w:rPr>
                <w:rFonts w:ascii="仿宋_GB2312" w:hAnsi="仿宋_GB2312" w:cs="仿宋_GB2312" w:eastAsia="仿宋_GB2312"/>
                <w:sz w:val="24"/>
                <w:b/>
              </w:rPr>
              <w:t>三、</w:t>
            </w:r>
            <w:r>
              <w:rPr>
                <w:rFonts w:ascii="仿宋_GB2312" w:hAnsi="仿宋_GB2312" w:cs="仿宋_GB2312" w:eastAsia="仿宋_GB2312"/>
                <w:sz w:val="24"/>
                <w:b/>
              </w:rPr>
              <w:t>接待要求</w:t>
            </w:r>
          </w:p>
          <w:p>
            <w:pPr>
              <w:pStyle w:val="null3"/>
              <w:ind w:firstLine="480"/>
              <w:jc w:val="both"/>
            </w:pPr>
            <w:r>
              <w:rPr>
                <w:rFonts w:ascii="仿宋_GB2312" w:hAnsi="仿宋_GB2312" w:cs="仿宋_GB2312" w:eastAsia="仿宋_GB2312"/>
                <w:sz w:val="24"/>
              </w:rPr>
              <w:t>1、合同：旅行社根据各支部要求，预约支部老干部，派专门工作人员上门采集旅游相关信息（姓名+身份证号码+电话），逐一签订旅游协议书。</w:t>
            </w:r>
          </w:p>
          <w:p>
            <w:pPr>
              <w:pStyle w:val="null3"/>
              <w:ind w:firstLine="480"/>
              <w:jc w:val="both"/>
            </w:pPr>
            <w:r>
              <w:rPr>
                <w:rFonts w:ascii="仿宋_GB2312" w:hAnsi="仿宋_GB2312" w:cs="仿宋_GB2312" w:eastAsia="仿宋_GB2312"/>
                <w:sz w:val="24"/>
              </w:rPr>
              <w:t>2、通知：团队出行事宜确定以后，要确保逐一通知到位（时间、地点）。</w:t>
            </w:r>
          </w:p>
          <w:p>
            <w:pPr>
              <w:pStyle w:val="null3"/>
              <w:ind w:firstLine="480"/>
              <w:jc w:val="both"/>
            </w:pPr>
            <w:r>
              <w:rPr>
                <w:rFonts w:ascii="仿宋_GB2312" w:hAnsi="仿宋_GB2312" w:cs="仿宋_GB2312" w:eastAsia="仿宋_GB2312"/>
                <w:sz w:val="24"/>
              </w:rPr>
              <w:t>3、接送：团队出行必须做到导游及车辆上门车接车送，让每一位老干部无忧出行。</w:t>
            </w:r>
          </w:p>
          <w:p>
            <w:pPr>
              <w:pStyle w:val="null3"/>
              <w:ind w:firstLine="480"/>
              <w:jc w:val="both"/>
            </w:pPr>
            <w:r>
              <w:rPr>
                <w:rFonts w:ascii="仿宋_GB2312" w:hAnsi="仿宋_GB2312" w:cs="仿宋_GB2312" w:eastAsia="仿宋_GB2312"/>
                <w:sz w:val="24"/>
              </w:rPr>
              <w:t>4、住宿：三星级及以上酒店，要求酒店位置好，房间大、有独立的早餐厅，卫生间要防滑、洗浴间要有防滑垫，要配备免费的洗漱用品；酒店容量要足够，可同时容纳150人左右同时入住和早餐使用的酒店。</w:t>
            </w:r>
          </w:p>
          <w:p>
            <w:pPr>
              <w:pStyle w:val="null3"/>
              <w:ind w:firstLine="480"/>
              <w:jc w:val="both"/>
            </w:pPr>
            <w:r>
              <w:rPr>
                <w:rFonts w:ascii="仿宋_GB2312" w:hAnsi="仿宋_GB2312" w:cs="仿宋_GB2312" w:eastAsia="仿宋_GB2312"/>
                <w:sz w:val="24"/>
              </w:rPr>
              <w:t>5、餐食：早餐全程包含，出行当天配备携带餐，品种保证10个及以上，期间早餐选择可以容纳150人左右同时用餐，菜品至少6个以上；正餐必须选择有正式营业执照的同时可容纳150人左右用餐的社会餐厅或酒店。早餐要求自助酒店早餐，正餐餐厅环境要好，要求至少12菜一汤，荤素对半，主食（米饭、馒头、面）管饱，餐后果盘必备。</w:t>
            </w:r>
          </w:p>
          <w:p>
            <w:pPr>
              <w:pStyle w:val="null3"/>
              <w:ind w:firstLine="480"/>
              <w:jc w:val="both"/>
            </w:pPr>
            <w:r>
              <w:rPr>
                <w:rFonts w:ascii="仿宋_GB2312" w:hAnsi="仿宋_GB2312" w:cs="仿宋_GB2312" w:eastAsia="仿宋_GB2312"/>
                <w:sz w:val="24"/>
              </w:rPr>
              <w:t>6、导游服务：要求优秀持证导游服务，服务态度好，讲解到位，上下车有搀扶，安排工作人员在老干部入住后要每一个房间盘查设施是否完整。</w:t>
            </w:r>
          </w:p>
          <w:p>
            <w:pPr>
              <w:pStyle w:val="null3"/>
              <w:ind w:firstLine="480"/>
              <w:jc w:val="both"/>
            </w:pPr>
            <w:r>
              <w:rPr>
                <w:rFonts w:ascii="仿宋_GB2312" w:hAnsi="仿宋_GB2312" w:cs="仿宋_GB2312" w:eastAsia="仿宋_GB2312"/>
                <w:sz w:val="24"/>
              </w:rPr>
              <w:t>7、安全服务：配备专业的随队医生，随时关注老干部的身体状况和及时作出准确的预判断；随队医生要携带外伤用品和基本的药品；配备随行领队，以备突发问题的及时处理，具备现场处理突发状况的能力；每车配备一名服务工作人员。</w:t>
            </w:r>
          </w:p>
          <w:p>
            <w:pPr>
              <w:pStyle w:val="null3"/>
              <w:ind w:firstLine="480"/>
              <w:jc w:val="both"/>
            </w:pPr>
            <w:r>
              <w:rPr>
                <w:rFonts w:ascii="仿宋_GB2312" w:hAnsi="仿宋_GB2312" w:cs="仿宋_GB2312" w:eastAsia="仿宋_GB2312"/>
                <w:sz w:val="24"/>
              </w:rPr>
              <w:t>8、人性化服务：车辆行驶中要就近安排休息和上卫生间，遇到特殊游客要耐心、温馨服务。称呼上要有尊称。</w:t>
            </w:r>
          </w:p>
          <w:p>
            <w:pPr>
              <w:pStyle w:val="null3"/>
              <w:ind w:firstLine="480"/>
              <w:jc w:val="both"/>
            </w:pPr>
            <w:r>
              <w:rPr>
                <w:rFonts w:ascii="仿宋_GB2312" w:hAnsi="仿宋_GB2312" w:cs="仿宋_GB2312" w:eastAsia="仿宋_GB2312"/>
                <w:sz w:val="24"/>
              </w:rPr>
              <w:t>9、结算要求：做好团队统计工作，制定专门的名单统计表和汇总表。清楚体现门票减免情况、具体到每一个人。临时取消不得收取车、导及其他损失。</w:t>
            </w:r>
          </w:p>
          <w:p>
            <w:pPr>
              <w:pStyle w:val="null3"/>
              <w:ind w:firstLine="480"/>
              <w:jc w:val="both"/>
            </w:pPr>
            <w:r>
              <w:rPr>
                <w:rFonts w:ascii="仿宋_GB2312" w:hAnsi="仿宋_GB2312" w:cs="仿宋_GB2312" w:eastAsia="仿宋_GB2312"/>
                <w:sz w:val="24"/>
              </w:rPr>
              <w:t>10、意见征集：团队意见单每团至少两份，团队结束后一周内要又对支部负责人的整体回访。</w:t>
            </w:r>
          </w:p>
          <w:p>
            <w:pPr>
              <w:pStyle w:val="null3"/>
              <w:ind w:firstLine="480"/>
              <w:jc w:val="both"/>
            </w:pPr>
            <w:r>
              <w:rPr>
                <w:rFonts w:ascii="仿宋_GB2312" w:hAnsi="仿宋_GB2312" w:cs="仿宋_GB2312" w:eastAsia="仿宋_GB2312"/>
                <w:sz w:val="24"/>
              </w:rPr>
              <w:t>11、能够按照每个支部的要求时间内不限次数完成出行任务。</w:t>
            </w:r>
          </w:p>
          <w:p>
            <w:pPr>
              <w:pStyle w:val="null3"/>
              <w:ind w:firstLine="480"/>
              <w:jc w:val="both"/>
            </w:pPr>
            <w:r>
              <w:rPr>
                <w:rFonts w:ascii="仿宋_GB2312" w:hAnsi="仿宋_GB2312" w:cs="仿宋_GB2312" w:eastAsia="仿宋_GB2312"/>
                <w:sz w:val="24"/>
              </w:rPr>
              <w:t>12、接待报价要求一价全含，不购物不自费，不允许有隐形消费。</w:t>
            </w:r>
          </w:p>
          <w:p>
            <w:pPr>
              <w:pStyle w:val="null3"/>
              <w:ind w:firstLine="482"/>
              <w:jc w:val="both"/>
            </w:pPr>
            <w:r>
              <w:rPr>
                <w:rFonts w:ascii="仿宋_GB2312" w:hAnsi="仿宋_GB2312" w:cs="仿宋_GB2312" w:eastAsia="仿宋_GB2312"/>
                <w:sz w:val="24"/>
                <w:b/>
              </w:rPr>
              <w:t>四、活动时间</w:t>
            </w:r>
          </w:p>
          <w:p>
            <w:pPr>
              <w:pStyle w:val="null3"/>
              <w:ind w:firstLine="480"/>
              <w:jc w:val="both"/>
            </w:pPr>
            <w:r>
              <w:rPr>
                <w:rFonts w:ascii="仿宋_GB2312" w:hAnsi="仿宋_GB2312" w:cs="仿宋_GB2312" w:eastAsia="仿宋_GB2312"/>
              </w:rPr>
              <w:t xml:space="preserve">   </w:t>
            </w:r>
            <w:r>
              <w:rPr>
                <w:rFonts w:ascii="仿宋_GB2312" w:hAnsi="仿宋_GB2312" w:cs="仿宋_GB2312" w:eastAsia="仿宋_GB2312"/>
                <w:sz w:val="24"/>
              </w:rPr>
              <w:t xml:space="preserve"> </w:t>
            </w:r>
            <w:r>
              <w:rPr>
                <w:rFonts w:ascii="仿宋_GB2312" w:hAnsi="仿宋_GB2312" w:cs="仿宋_GB2312" w:eastAsia="仿宋_GB2312"/>
                <w:sz w:val="24"/>
              </w:rPr>
              <w:t>截止日期</w:t>
            </w:r>
            <w:r>
              <w:rPr>
                <w:rFonts w:ascii="仿宋_GB2312" w:hAnsi="仿宋_GB2312" w:cs="仿宋_GB2312" w:eastAsia="仿宋_GB2312"/>
                <w:sz w:val="24"/>
              </w:rPr>
              <w:t>2025年12月31日止（如遇不可抗力因素，截止日期顺延）。</w:t>
            </w:r>
          </w:p>
          <w:p>
            <w:pPr>
              <w:pStyle w:val="null3"/>
              <w:ind w:firstLine="480"/>
              <w:jc w:val="both"/>
            </w:pPr>
            <w:r>
              <w:rPr>
                <w:rFonts w:ascii="仿宋_GB2312" w:hAnsi="仿宋_GB2312" w:cs="仿宋_GB2312" w:eastAsia="仿宋_GB2312"/>
                <w:sz w:val="24"/>
              </w:rPr>
              <w:t>五、付款方式</w:t>
            </w:r>
          </w:p>
          <w:p>
            <w:pPr>
              <w:pStyle w:val="null3"/>
              <w:ind w:firstLine="480"/>
            </w:pPr>
            <w:r>
              <w:rPr>
                <w:rFonts w:ascii="仿宋_GB2312" w:hAnsi="仿宋_GB2312" w:cs="仿宋_GB2312" w:eastAsia="仿宋_GB2312"/>
                <w:sz w:val="24"/>
              </w:rPr>
              <w:t xml:space="preserve"> </w:t>
            </w:r>
            <w:r>
              <w:rPr>
                <w:rFonts w:ascii="仿宋_GB2312" w:hAnsi="仿宋_GB2312" w:cs="仿宋_GB2312" w:eastAsia="仿宋_GB2312"/>
                <w:sz w:val="24"/>
              </w:rPr>
              <w:t>付款条件说明：</w:t>
            </w:r>
            <w:r>
              <w:rPr>
                <w:rFonts w:ascii="仿宋_GB2312" w:hAnsi="仿宋_GB2312" w:cs="仿宋_GB2312" w:eastAsia="仿宋_GB2312"/>
                <w:sz w:val="24"/>
              </w:rPr>
              <w:t>合同签订后</w:t>
            </w:r>
            <w:r>
              <w:rPr>
                <w:rFonts w:ascii="仿宋_GB2312" w:hAnsi="仿宋_GB2312" w:cs="仿宋_GB2312" w:eastAsia="仿宋_GB2312"/>
                <w:sz w:val="24"/>
              </w:rPr>
              <w:t>，达到付款条件起</w:t>
            </w:r>
            <w:r>
              <w:rPr>
                <w:rFonts w:ascii="仿宋_GB2312" w:hAnsi="仿宋_GB2312" w:cs="仿宋_GB2312" w:eastAsia="仿宋_GB2312"/>
                <w:sz w:val="24"/>
              </w:rPr>
              <w:t>10</w:t>
            </w:r>
            <w:r>
              <w:rPr>
                <w:rFonts w:ascii="仿宋_GB2312" w:hAnsi="仿宋_GB2312" w:cs="仿宋_GB2312" w:eastAsia="仿宋_GB2312"/>
                <w:sz w:val="24"/>
              </w:rPr>
              <w:t>日内，支付合同总金额的</w:t>
            </w:r>
            <w:r>
              <w:rPr>
                <w:rFonts w:ascii="仿宋_GB2312" w:hAnsi="仿宋_GB2312" w:cs="仿宋_GB2312" w:eastAsia="仿宋_GB2312"/>
                <w:sz w:val="24"/>
              </w:rPr>
              <w:t>30.</w:t>
            </w:r>
            <w:r>
              <w:rPr>
                <w:rFonts w:ascii="仿宋_GB2312" w:hAnsi="仿宋_GB2312" w:cs="仿宋_GB2312" w:eastAsia="仿宋_GB2312"/>
                <w:sz w:val="24"/>
              </w:rPr>
              <w:t>00%</w:t>
            </w:r>
            <w:r>
              <w:rPr>
                <w:rFonts w:ascii="仿宋_GB2312" w:hAnsi="仿宋_GB2312" w:cs="仿宋_GB2312" w:eastAsia="仿宋_GB2312"/>
                <w:sz w:val="24"/>
              </w:rPr>
              <w:t>；项目实施阶段过半，</w:t>
            </w:r>
            <w:r>
              <w:rPr>
                <w:rFonts w:ascii="仿宋_GB2312" w:hAnsi="仿宋_GB2312" w:cs="仿宋_GB2312" w:eastAsia="仿宋_GB2312"/>
                <w:sz w:val="24"/>
              </w:rPr>
              <w:t>达到付款条件起</w:t>
            </w:r>
            <w:r>
              <w:rPr>
                <w:rFonts w:ascii="仿宋_GB2312" w:hAnsi="仿宋_GB2312" w:cs="仿宋_GB2312" w:eastAsia="仿宋_GB2312"/>
                <w:sz w:val="24"/>
              </w:rPr>
              <w:t>10</w:t>
            </w:r>
            <w:r>
              <w:rPr>
                <w:rFonts w:ascii="仿宋_GB2312" w:hAnsi="仿宋_GB2312" w:cs="仿宋_GB2312" w:eastAsia="仿宋_GB2312"/>
                <w:sz w:val="24"/>
              </w:rPr>
              <w:t>日内，支付合同总金额的</w:t>
            </w:r>
            <w:r>
              <w:rPr>
                <w:rFonts w:ascii="仿宋_GB2312" w:hAnsi="仿宋_GB2312" w:cs="仿宋_GB2312" w:eastAsia="仿宋_GB2312"/>
                <w:sz w:val="24"/>
              </w:rPr>
              <w:t>50.</w:t>
            </w:r>
            <w:r>
              <w:rPr>
                <w:rFonts w:ascii="仿宋_GB2312" w:hAnsi="仿宋_GB2312" w:cs="仿宋_GB2312" w:eastAsia="仿宋_GB2312"/>
                <w:sz w:val="24"/>
              </w:rPr>
              <w:t>00%</w:t>
            </w:r>
            <w:r>
              <w:rPr>
                <w:rFonts w:ascii="仿宋_GB2312" w:hAnsi="仿宋_GB2312" w:cs="仿宋_GB2312" w:eastAsia="仿宋_GB2312"/>
                <w:sz w:val="24"/>
              </w:rPr>
              <w:t>；</w:t>
            </w:r>
            <w:r>
              <w:rPr>
                <w:rFonts w:ascii="仿宋_GB2312" w:hAnsi="仿宋_GB2312" w:cs="仿宋_GB2312" w:eastAsia="仿宋_GB2312"/>
                <w:sz w:val="24"/>
              </w:rPr>
              <w:t>项目实施完成</w:t>
            </w:r>
            <w:r>
              <w:rPr>
                <w:rFonts w:ascii="仿宋_GB2312" w:hAnsi="仿宋_GB2312" w:cs="仿宋_GB2312" w:eastAsia="仿宋_GB2312"/>
                <w:sz w:val="24"/>
              </w:rPr>
              <w:t>后按实际参与人数结算总价款，</w:t>
            </w:r>
            <w:r>
              <w:rPr>
                <w:rFonts w:ascii="仿宋_GB2312" w:hAnsi="仿宋_GB2312" w:cs="仿宋_GB2312" w:eastAsia="仿宋_GB2312"/>
                <w:sz w:val="24"/>
              </w:rPr>
              <w:t>达到付款条件起</w:t>
            </w:r>
            <w:r>
              <w:rPr>
                <w:rFonts w:ascii="仿宋_GB2312" w:hAnsi="仿宋_GB2312" w:cs="仿宋_GB2312" w:eastAsia="仿宋_GB2312"/>
                <w:sz w:val="24"/>
              </w:rPr>
              <w:t>10</w:t>
            </w:r>
            <w:r>
              <w:rPr>
                <w:rFonts w:ascii="仿宋_GB2312" w:hAnsi="仿宋_GB2312" w:cs="仿宋_GB2312" w:eastAsia="仿宋_GB2312"/>
                <w:sz w:val="24"/>
              </w:rPr>
              <w:t>日内，支付合同总金额的</w:t>
            </w:r>
            <w:r>
              <w:rPr>
                <w:rFonts w:ascii="仿宋_GB2312" w:hAnsi="仿宋_GB2312" w:cs="仿宋_GB2312" w:eastAsia="仿宋_GB2312"/>
                <w:sz w:val="24"/>
              </w:rPr>
              <w:t>20.</w:t>
            </w:r>
            <w:r>
              <w:rPr>
                <w:rFonts w:ascii="仿宋_GB2312" w:hAnsi="仿宋_GB2312" w:cs="仿宋_GB2312" w:eastAsia="仿宋_GB2312"/>
                <w:sz w:val="24"/>
              </w:rPr>
              <w:t>00%</w:t>
            </w:r>
            <w:r>
              <w:rPr>
                <w:rFonts w:ascii="仿宋_GB2312" w:hAnsi="仿宋_GB2312" w:cs="仿宋_GB2312" w:eastAsia="仿宋_GB2312"/>
                <w:sz w:val="24"/>
              </w:rPr>
              <w:t>。</w:t>
            </w:r>
          </w:p>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自合同签订之日起至2025年12月31日止(如遇不可抗力因素，截止日期顺延)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 </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项目实施阶段过半</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项目实施完成后按实际参与人数结算总价款</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本项目响应报价报单价合计金额，如分项报价超过单价限价，响应报价将按无效响应。</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 xml:space="preserve"> 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特定资格证明文件.docx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提供法定代表人授权书（附法定代表人、被授权人身份证复印件），法定代表人直接参加投标，须提供法定代表人身份证明及身份证复印件；</w:t>
            </w:r>
          </w:p>
        </w:tc>
        <w:tc>
          <w:tcPr>
            <w:tcW w:type="dxa" w:w="1661"/>
          </w:tcPr>
          <w:p>
            <w:pPr>
              <w:pStyle w:val="null3"/>
            </w:pPr>
            <w:r>
              <w:rPr>
                <w:rFonts w:ascii="仿宋_GB2312" w:hAnsi="仿宋_GB2312" w:cs="仿宋_GB2312" w:eastAsia="仿宋_GB2312"/>
              </w:rPr>
              <w:t>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财务审计报告</w:t>
            </w:r>
          </w:p>
        </w:tc>
        <w:tc>
          <w:tcPr>
            <w:tcW w:type="dxa" w:w="3322"/>
          </w:tcPr>
          <w:p>
            <w:pPr>
              <w:pStyle w:val="null3"/>
            </w:pPr>
            <w:r>
              <w:rPr>
                <w:rFonts w:ascii="仿宋_GB2312" w:hAnsi="仿宋_GB2312" w:cs="仿宋_GB2312" w:eastAsia="仿宋_GB2312"/>
              </w:rPr>
              <w:t>提供2024年度的财务审计报告（成立时间至提交响应文件截止时间不足一年的可提供成立后任意时段的资产负债表），或开标时间前六个月内银行出具的资信证明；</w:t>
            </w:r>
          </w:p>
        </w:tc>
        <w:tc>
          <w:tcPr>
            <w:tcW w:type="dxa" w:w="1661"/>
          </w:tcPr>
          <w:p>
            <w:pPr>
              <w:pStyle w:val="null3"/>
            </w:pPr>
            <w:r>
              <w:rPr>
                <w:rFonts w:ascii="仿宋_GB2312" w:hAnsi="仿宋_GB2312" w:cs="仿宋_GB2312" w:eastAsia="仿宋_GB2312"/>
              </w:rPr>
              <w:t>特定资格证明文件.docx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提供近一年内至今已缴纳任意一个月的纳税证明或完税证明（任意税种），依法免税的单位应提供相关证明材料；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特定资格证明文件.docx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提供近一年内至今已缴纳任意一个月的社会保障资金缴存单据或社保机构开具的社会保险参保缴费情况证明，依法不需要缴纳社会保障资金的单位应提供相关证明材料；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特定资格证明文件.docx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相关主体信用记录</w:t>
            </w:r>
          </w:p>
        </w:tc>
        <w:tc>
          <w:tcPr>
            <w:tcW w:type="dxa" w:w="3322"/>
          </w:tcPr>
          <w:p>
            <w:pPr>
              <w:pStyle w:val="null3"/>
            </w:pPr>
            <w:r>
              <w:rPr>
                <w:rFonts w:ascii="仿宋_GB2312" w:hAnsi="仿宋_GB2312" w:cs="仿宋_GB2312" w:eastAsia="仿宋_GB2312"/>
              </w:rPr>
              <w:t>供应商通过“信用中国”网站(www.creditchina.gov.cn)、中国政府采购网(www.ccgp.gov.cn)等查询相关主体信用记录；</w:t>
            </w:r>
          </w:p>
        </w:tc>
        <w:tc>
          <w:tcPr>
            <w:tcW w:type="dxa" w:w="1661"/>
          </w:tcPr>
          <w:p>
            <w:pPr>
              <w:pStyle w:val="null3"/>
            </w:pPr>
            <w:r>
              <w:rPr>
                <w:rFonts w:ascii="仿宋_GB2312" w:hAnsi="仿宋_GB2312" w:cs="仿宋_GB2312" w:eastAsia="仿宋_GB2312"/>
              </w:rPr>
              <w:t>特定资格证明文件.docx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特定资格证明文件.docx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履约承诺</w:t>
            </w:r>
          </w:p>
        </w:tc>
        <w:tc>
          <w:tcPr>
            <w:tcW w:type="dxa" w:w="3322"/>
          </w:tcPr>
          <w:p>
            <w:pPr>
              <w:pStyle w:val="null3"/>
            </w:pPr>
            <w:r>
              <w:rPr>
                <w:rFonts w:ascii="仿宋_GB2312" w:hAnsi="仿宋_GB2312" w:cs="仿宋_GB2312" w:eastAsia="仿宋_GB2312"/>
              </w:rPr>
              <w:t>提供具有履行本合同所必需的设备和专业技术能力的说明及承诺书；</w:t>
            </w:r>
          </w:p>
        </w:tc>
        <w:tc>
          <w:tcPr>
            <w:tcW w:type="dxa" w:w="1661"/>
          </w:tcPr>
          <w:p>
            <w:pPr>
              <w:pStyle w:val="null3"/>
            </w:pPr>
            <w:r>
              <w:rPr>
                <w:rFonts w:ascii="仿宋_GB2312" w:hAnsi="仿宋_GB2312" w:cs="仿宋_GB2312" w:eastAsia="仿宋_GB2312"/>
              </w:rPr>
              <w:t>特定资格证明文件.docx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本采购包专门面向中小企业采购（提供中小企业声明函）；</w:t>
            </w:r>
          </w:p>
        </w:tc>
        <w:tc>
          <w:tcPr>
            <w:tcW w:type="dxa" w:w="1661"/>
          </w:tcPr>
          <w:p>
            <w:pPr>
              <w:pStyle w:val="null3"/>
            </w:pPr>
            <w:r>
              <w:rPr>
                <w:rFonts w:ascii="仿宋_GB2312" w:hAnsi="仿宋_GB2312" w:cs="仿宋_GB2312" w:eastAsia="仿宋_GB2312"/>
              </w:rPr>
              <w:t>中小企业声明函 特定资格证明文件.docx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供应商须具备相关主管部门颁发的《旅行社业务经营许可证》；</w:t>
            </w:r>
          </w:p>
        </w:tc>
        <w:tc>
          <w:tcPr>
            <w:tcW w:type="dxa" w:w="1661"/>
          </w:tcPr>
          <w:p>
            <w:pPr>
              <w:pStyle w:val="null3"/>
            </w:pPr>
            <w:r>
              <w:rPr>
                <w:rFonts w:ascii="仿宋_GB2312" w:hAnsi="仿宋_GB2312" w:cs="仿宋_GB2312" w:eastAsia="仿宋_GB2312"/>
              </w:rPr>
              <w:t>特定资格证明文件.docx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非联合体承诺</w:t>
            </w:r>
          </w:p>
        </w:tc>
        <w:tc>
          <w:tcPr>
            <w:tcW w:type="dxa" w:w="3322"/>
          </w:tcPr>
          <w:p>
            <w:pPr>
              <w:pStyle w:val="null3"/>
            </w:pPr>
            <w:r>
              <w:rPr>
                <w:rFonts w:ascii="仿宋_GB2312" w:hAnsi="仿宋_GB2312" w:cs="仿宋_GB2312" w:eastAsia="仿宋_GB2312"/>
              </w:rPr>
              <w:t>本项目不接受联合体磋商（提供承诺书）。</w:t>
            </w:r>
          </w:p>
        </w:tc>
        <w:tc>
          <w:tcPr>
            <w:tcW w:type="dxa" w:w="1661"/>
          </w:tcPr>
          <w:p>
            <w:pPr>
              <w:pStyle w:val="null3"/>
            </w:pPr>
            <w:r>
              <w:rPr>
                <w:rFonts w:ascii="仿宋_GB2312" w:hAnsi="仿宋_GB2312" w:cs="仿宋_GB2312" w:eastAsia="仿宋_GB2312"/>
              </w:rPr>
              <w:t>特定资格证明文件.docx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竞争性磋商响应文件的完整性</w:t>
            </w:r>
          </w:p>
        </w:tc>
        <w:tc>
          <w:tcPr>
            <w:tcW w:type="dxa" w:w="3322"/>
          </w:tcPr>
          <w:p>
            <w:pPr>
              <w:pStyle w:val="null3"/>
            </w:pPr>
            <w:r>
              <w:rPr>
                <w:rFonts w:ascii="仿宋_GB2312" w:hAnsi="仿宋_GB2312" w:cs="仿宋_GB2312" w:eastAsia="仿宋_GB2312"/>
              </w:rPr>
              <w:t>竞争性磋商响应文件构成是否有重大缺项，是否按照竞争性磋商文件要求的格式编写竞争性磋商响应文件</w:t>
            </w:r>
          </w:p>
        </w:tc>
        <w:tc>
          <w:tcPr>
            <w:tcW w:type="dxa" w:w="1661"/>
          </w:tcPr>
          <w:p>
            <w:pPr>
              <w:pStyle w:val="null3"/>
            </w:pPr>
            <w:r>
              <w:rPr>
                <w:rFonts w:ascii="仿宋_GB2312" w:hAnsi="仿宋_GB2312" w:cs="仿宋_GB2312" w:eastAsia="仿宋_GB2312"/>
              </w:rPr>
              <w:t>业绩.docx 服务内容及服务邀请应答表 中小企业声明函 商务应答表 特定资格证明文件.docx 供应商应提交的相关资格证明材料 报价表 响应文件封面 本项目拟投入人员汇总表.docx 分项报价表.docx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竞争性磋商响应文件的有效性</w:t>
            </w:r>
          </w:p>
        </w:tc>
        <w:tc>
          <w:tcPr>
            <w:tcW w:type="dxa" w:w="3322"/>
          </w:tcPr>
          <w:p>
            <w:pPr>
              <w:pStyle w:val="null3"/>
            </w:pPr>
            <w:r>
              <w:rPr>
                <w:rFonts w:ascii="仿宋_GB2312" w:hAnsi="仿宋_GB2312" w:cs="仿宋_GB2312" w:eastAsia="仿宋_GB2312"/>
              </w:rPr>
              <w:t>竞争性磋商响应文件的签署、加盖印章是否合格、有效；提供的各种证明文件、数据、资料是否真实、有效</w:t>
            </w:r>
          </w:p>
        </w:tc>
        <w:tc>
          <w:tcPr>
            <w:tcW w:type="dxa" w:w="1661"/>
          </w:tcPr>
          <w:p>
            <w:pPr>
              <w:pStyle w:val="null3"/>
            </w:pPr>
            <w:r>
              <w:rPr>
                <w:rFonts w:ascii="仿宋_GB2312" w:hAnsi="仿宋_GB2312" w:cs="仿宋_GB2312" w:eastAsia="仿宋_GB2312"/>
              </w:rPr>
              <w:t>业绩.docx 服务内容及服务邀请应答表 中小企业声明函 商务应答表 特定资格证明文件.docx 供应商应提交的相关资格证明材料 报价表 响应文件封面 本项目拟投入人员汇总表.docx 分项报价表.docx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竞争性磋商响应文件的响应性</w:t>
            </w:r>
          </w:p>
        </w:tc>
        <w:tc>
          <w:tcPr>
            <w:tcW w:type="dxa" w:w="3322"/>
          </w:tcPr>
          <w:p>
            <w:pPr>
              <w:pStyle w:val="null3"/>
            </w:pPr>
            <w:r>
              <w:rPr>
                <w:rFonts w:ascii="仿宋_GB2312" w:hAnsi="仿宋_GB2312" w:cs="仿宋_GB2312" w:eastAsia="仿宋_GB2312"/>
              </w:rPr>
              <w:t>磋商有效期是否符合竞争性磋商文件要求；是否满足本次磋商的特殊要求；磋商方案是否有重大缺漏项；磋商商务响应条款是否有重大偏离；对合同中规定的双方的权利和义务是否做出了实质性修改</w:t>
            </w:r>
          </w:p>
        </w:tc>
        <w:tc>
          <w:tcPr>
            <w:tcW w:type="dxa" w:w="1661"/>
          </w:tcPr>
          <w:p>
            <w:pPr>
              <w:pStyle w:val="null3"/>
            </w:pPr>
            <w:r>
              <w:rPr>
                <w:rFonts w:ascii="仿宋_GB2312" w:hAnsi="仿宋_GB2312" w:cs="仿宋_GB2312" w:eastAsia="仿宋_GB2312"/>
              </w:rPr>
              <w:t>业绩.docx 服务内容及服务邀请应答表 中小企业声明函 商务应答表 特定资格证明文件.docx 供应商应提交的相关资格证明材料 报价表 响应文件封面 本项目拟投入人员汇总表.docx 分项报价表.docx 残疾人福利性单位声明函 服务方案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需求响应</w:t>
            </w:r>
          </w:p>
        </w:tc>
        <w:tc>
          <w:tcPr>
            <w:tcW w:type="dxa" w:w="2492"/>
          </w:tcPr>
          <w:p>
            <w:pPr>
              <w:pStyle w:val="null3"/>
            </w:pPr>
            <w:r>
              <w:rPr>
                <w:rFonts w:ascii="仿宋_GB2312" w:hAnsi="仿宋_GB2312" w:cs="仿宋_GB2312" w:eastAsia="仿宋_GB2312"/>
              </w:rPr>
              <w:t>一、评审内容针对本项目提出适用于本项目的需求响应方案，包括：①项目理解②需求分析③项目重难点分析 二、评审标准 1、完整性：方案必须全面，对评审内容中的各项要求有详细描述； 2、可实施性：切合本项目实际情况，提出步骤清晰、合理的方案； 3、针对性：方案能够紧扣项目实际情况，内容科学合理。 三、赋分标准（满分9分） ①项目理解：每完全满足一个评审标准得 1分，未完全满足一个评审标准得0-0.9分，满分3分； ②需求分析：每完全满足一个评审标准得1分，未完全满足一个评审标准得0-0.9分，满分3分； ③项目重难点分析：每完全满足一个评审标准得1 分，未完全满足一个评审标准得0-0.9分，满分3分。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针对本项目提出适用于本项目的服务方案，包括：①整体服务方案②项目实施计划③服务流程 二、评审标准 1、完整性：方案必须全面，对评审内容中的各项要求有详细描述； 2、可实施性：切合本项目实际情况，提出步骤清晰、合理的方案； 3、针对性：方案能够紧扣项目实际情况，内容科学合理。 三、赋分标准（满分18分） ①整体服务方案：每完全满足一个评审标准得2分，未完全满足一个评审标准得0-1.9分，满分6分； ②项目实施计划：每完全满足一个评审标准得2分，未完全满足一个评审标准得0-1.9分，满分6分； ③服务流程 ：每完全满足一个评审标准得2分，未完全满足一个评审标准得0-1.9分，满分6分。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质量管理措施</w:t>
            </w:r>
          </w:p>
        </w:tc>
        <w:tc>
          <w:tcPr>
            <w:tcW w:type="dxa" w:w="2492"/>
          </w:tcPr>
          <w:p>
            <w:pPr>
              <w:pStyle w:val="null3"/>
            </w:pPr>
            <w:r>
              <w:rPr>
                <w:rFonts w:ascii="仿宋_GB2312" w:hAnsi="仿宋_GB2312" w:cs="仿宋_GB2312" w:eastAsia="仿宋_GB2312"/>
              </w:rPr>
              <w:t>一、评审内容 针对采购需求提出适用于本项目的措施方案，方案包括：①问题处理对策②服务质量保证措施 二、评审标准 1、完整性：方案必须全面，对评审内容中的各项要求有详细描述； 2、可实施性：切合本项目实际情况，提出步骤清晰、合理的方案； 3、针对性：方案能够紧扣项目实际情况，内容科学合理。 三、赋分标准（满分6分） ①问题处理对策：每完全满足一个评审标准得1分，未完全满足一个评审标准得0-0.9分，满分3分；②服务质量保证措施：每完全满足一个评审标准得1分，未完全满足一个评审标准得0-0.9分，满分3分。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应急措施方案</w:t>
            </w:r>
          </w:p>
        </w:tc>
        <w:tc>
          <w:tcPr>
            <w:tcW w:type="dxa" w:w="2492"/>
          </w:tcPr>
          <w:p>
            <w:pPr>
              <w:pStyle w:val="null3"/>
            </w:pPr>
            <w:r>
              <w:rPr>
                <w:rFonts w:ascii="仿宋_GB2312" w:hAnsi="仿宋_GB2312" w:cs="仿宋_GB2312" w:eastAsia="仿宋_GB2312"/>
              </w:rPr>
              <w:t>一、评审内容 针对本项目提出适用于本项目的应急措施方案，方案包括：①安全类事故预防及应急保障措施②人员身体健康突发情况的应急措施③突发自然灾害的应急保障措施 二、评审标准 1、完整性：方案必须全面，对评审内容中的各项要求有详细描述； 2、可实施性：切合本项目实际情况，提出步骤清晰、合理的方案； 3、针对性：方案能够紧扣项目实际情况，内容科学合理。 三、赋分标准（满分12分）：①安全类事故预防及应急保障措施：每完全满足一个评审标准得2分，未完全满足一个评审标准得0-1.9分，满分6分； ②人员身体健康突发情况的应急措施：每完全满足一个评审标准得1分，未完全满足一个评审标准得0-0.9分，满分3分; ③突发自然灾害的应急保障措施：每完全满足一个评审标准得1分，未完全满足一个评审标准得0-0.9分，满分3分。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项目实施管理方案</w:t>
            </w:r>
          </w:p>
        </w:tc>
        <w:tc>
          <w:tcPr>
            <w:tcW w:type="dxa" w:w="2492"/>
          </w:tcPr>
          <w:p>
            <w:pPr>
              <w:pStyle w:val="null3"/>
            </w:pPr>
            <w:r>
              <w:rPr>
                <w:rFonts w:ascii="仿宋_GB2312" w:hAnsi="仿宋_GB2312" w:cs="仿宋_GB2312" w:eastAsia="仿宋_GB2312"/>
              </w:rPr>
              <w:t>一、评审内容 针对本项目提出适用于本项目的实施管理方案，方案包括：①拟投入的车辆②酒店房间情况及规格配置③就餐餐厅及供应品类 二、评审标准 1、完整性：方案必须全面，对评审内容中的各项要求有详细描述； 2、可实施性：切合本项目实际情况，提出步骤清晰、合理的方案； 3、针对性：方案能够紧扣项目实际情况，内容科学合理。 三、赋分标准（满分9分） ①拟投入的车辆：每完全满足一个评审标准得1分，未完全满足一个评审标准得0-0.9分，满分3分； ②酒店房间情况及规格配置：每完全满足一个评审标准得1分，未完全满足一个评审标准得0-0.9分，满分3分；③就餐餐厅及供应品类：每完全满足一个评审标准得1分，未完全满足一个评审标准得0-0.9分，满分3分。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针对本项目提出适用于本项目的服务承诺，方案包括：①服务人员及时到位的承诺②根据采购人意见及时调整人员及服务方案的承诺 二、评审标准 1、完整性：方案必须全面，对评审内容中的各项要求有详细描述； 2、可实施性：切合本项目实际情况，提出步骤清晰、合理的方案； 3、针对性：方案能够紧扣项目实际情况，内容科学合理。 三、赋分标准（满分6分） ①服务人员及时到位的承诺：每完全满足一个评审标准得1分，未完全满足一个评审标准得0-0.9分，满分3分； ②根据采购人意见及时调整人员及服务方案的承诺 ：每完全满足一个评审标准得1分，未完全满足一个评审标准得0-0.9分，满分3分。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对本项目服务工作中的常见问题进行梳理，具有良好的解决方案并及时向采购人提出合理化建议，每提供一条有效的建议得1分，满分2分。不提供不得分。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人员证书</w:t>
            </w:r>
          </w:p>
        </w:tc>
        <w:tc>
          <w:tcPr>
            <w:tcW w:type="dxa" w:w="2492"/>
          </w:tcPr>
          <w:p>
            <w:pPr>
              <w:pStyle w:val="null3"/>
            </w:pPr>
            <w:r>
              <w:rPr>
                <w:rFonts w:ascii="仿宋_GB2312" w:hAnsi="仿宋_GB2312" w:cs="仿宋_GB2312" w:eastAsia="仿宋_GB2312"/>
              </w:rPr>
              <w:t>1、拟派项目负责人有丰富的相关领域工作经验或者曾承担过类似工作（须提供类似项目合同或甲方评价书或相关证书等材料证明工作），证明材料齐全、完整得2分。 2、拟派导游具有初级等级证书，每有一人得0.5分，具有中级等级证书，每有一人得1分，具有高级等级证书，每有一人得2分，本项满分8分（同一人的等级证书以最高等级为准，不重复加分。 未提供或脱离项目实际的不得分）。 配备专职驾驶员，驾驶员驾龄满五年且无较大交通事故，提供承诺函得2分，否则不得分。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本项目拟投入人员汇总表.docx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针对本项目提出适用于本项目的项目团队配置方案，包括：①团队人员各专业岗位配置②团队人员管理制度二、评审标准 1、完整性：方案必须全面，对评审内容中的各项要求有详细描述； 2、可实施性：切合本项目实际情况，提出步骤清晰、合理的方案； 3、针对性：方案能够紧扣项目实际情况，内容科学合理。 三、赋分标准（满分6分） ①团队人员各专业岗位配置：每完全满足一个评审标准得1分，未满足一个评审标准要求综合赋分0-0.9分，满分3分； ②团队人员管理制度：每完全满足一个评审标准得1分，未满足一个评审标准要求综合赋分0-0.9分，满分3分。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本项目拟投入人员汇总表.docx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须提供自2022年1月1日至今类似项目业绩，以供应商提供的合同或中标（成交）通知书复印件（或扫描件）为准（日期以合同签订时间或中标（成交）通知书时间为准），每提供一份得2分，满分10分；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1.经初审合格的响应文件，其磋商响应报价为有效投标价。 2.有效最低报价为基准价得10分。 3.按（有效最低报价/有效投标报价）×10的公式计算其得分。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详见附件：特定资格证明文件.docx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详见附件：本项目拟投入人员汇总表.docx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