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版本号：XAJG(ZFCG)-2025072420250904001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图书馆电子教材教参平台建设项目(三次)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XAJG(ZFCG)-20250724</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图书馆电子教材教参平台建设项目(三次)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图书馆电子教材教参平台建设项目(三次)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建设聚焦构建数字化教学支撑体系，打造集电子教材、电子教参、教学方案、多媒体课件、标准化题库、微课资源于一体的综合性教学服务平台。平台能够支持PDF文档、DOC文档、图表、音视频、演示文稿等多元呈现形式，构建标准化资源管理架构，实现教材、教参资源的全流程数字化管理、智能化存储与多终端适配阅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采购包1（图书馆电子教材教参平台建设项目）：属于专门面向中小企业采购。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2、授权书：法定代表人（主要负责人）委托代理人参加时，应提供法定代表人（主要负责人）委托授权书；法定代表人（主要负责人）亲自参加时，应提供法定代表人（主要负责人）身份证明书。</w:t>
      </w:r>
    </w:p>
    <w:p>
      <w:pPr>
        <w:pStyle w:val="null3"/>
      </w:pPr>
      <w:r>
        <w:rPr>
          <w:rFonts w:ascii="仿宋_GB2312" w:hAnsi="仿宋_GB2312" w:cs="仿宋_GB2312" w:eastAsia="仿宋_GB2312"/>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p>
      <w:pPr>
        <w:pStyle w:val="null3"/>
      </w:pPr>
      <w:r>
        <w:rPr>
          <w:rFonts w:ascii="仿宋_GB2312" w:hAnsi="仿宋_GB2312" w:cs="仿宋_GB2312" w:eastAsia="仿宋_GB2312"/>
        </w:rPr>
        <w:t>4、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7、专业技术能力说明：供应商提供具有履行本合同所必需的设备和专业技术能力的承诺函。</w:t>
      </w:r>
    </w:p>
    <w:p>
      <w:pPr>
        <w:pStyle w:val="null3"/>
      </w:pPr>
      <w:r>
        <w:rPr>
          <w:rFonts w:ascii="仿宋_GB2312" w:hAnsi="仿宋_GB2312" w:cs="仿宋_GB2312" w:eastAsia="仿宋_GB2312"/>
        </w:rPr>
        <w:t>8、无重大违法说明：参加本次政府采购活动前3年内在经营活动中没有重大违法记录，以及未被列入失信被执行人、重大税收违法案件当事人名单、政府采购严重违法失信行为记录名单的书面声明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9、书面声明：供应商拒绝政府采购领域商业贿赂承诺书</w:t>
      </w:r>
    </w:p>
    <w:p>
      <w:pPr>
        <w:pStyle w:val="null3"/>
      </w:pPr>
      <w:r>
        <w:rPr>
          <w:rFonts w:ascii="仿宋_GB2312" w:hAnsi="仿宋_GB2312" w:cs="仿宋_GB2312" w:eastAsia="仿宋_GB2312"/>
        </w:rPr>
        <w:t>10、非联合体承诺书：本项目不接受联合体谈判。</w:t>
      </w:r>
    </w:p>
    <w:p>
      <w:pPr>
        <w:pStyle w:val="null3"/>
      </w:pPr>
      <w:r>
        <w:rPr>
          <w:rFonts w:ascii="仿宋_GB2312" w:hAnsi="仿宋_GB2312" w:cs="仿宋_GB2312" w:eastAsia="仿宋_GB2312"/>
        </w:rPr>
        <w:t>11、本项目专门面向中小企业：本项目专门面向中小企业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牛超、戴路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联系人：牛超、戴路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聚焦构建数字化教学支撑体系，打造集电子教材、电子教参、教学方案、多媒体课件、标准化题库、微课资源于一体的综合性教学服务平台。平台能够支持PDF文档、DOC文档、图表、音视频、演示文稿等多元呈现形式，构建标准化资源管理架构，实现教材、教参资源的全流程数字化管理、智能化存储与多终端适配阅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图书馆电子教材教参平台建设项目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标的名称：图书馆电子教材教参平台建设项目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284"/>
              <w:gridCol w:w="187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一、项目概况</w:t>
                  </w:r>
                </w:p>
                <w:p>
                  <w:pPr>
                    <w:pStyle w:val="null3"/>
                    <w:ind w:firstLine="420"/>
                    <w:jc w:val="both"/>
                  </w:pPr>
                  <w:r>
                    <w:rPr>
                      <w:rFonts w:ascii="仿宋_GB2312" w:hAnsi="仿宋_GB2312" w:cs="仿宋_GB2312" w:eastAsia="仿宋_GB2312"/>
                      <w:sz w:val="21"/>
                      <w:color w:val="000000"/>
                    </w:rPr>
                    <w:t>本项目建设聚焦构建数字化教学支撑体系，打造集电子教材、电子教参、教学方案、多媒体课件、标准化题库、微课资源于一体的综合性教学服务平台。平台能够支持</w:t>
                  </w:r>
                  <w:r>
                    <w:rPr>
                      <w:rFonts w:ascii="仿宋_GB2312" w:hAnsi="仿宋_GB2312" w:cs="仿宋_GB2312" w:eastAsia="仿宋_GB2312"/>
                      <w:sz w:val="21"/>
                      <w:color w:val="000000"/>
                    </w:rPr>
                    <w:t>PDF文档、DOC文档、图表、音视频、演示文稿等多元呈现形式，构建标准化资源管理架构，实现教材、教参资源的全流程数字化管理、智能化存储与多终端适配阅览。</w:t>
                  </w:r>
                </w:p>
                <w:p>
                  <w:pPr>
                    <w:pStyle w:val="null3"/>
                    <w:ind w:firstLine="420"/>
                    <w:jc w:val="both"/>
                  </w:pPr>
                  <w:r>
                    <w:rPr>
                      <w:rFonts w:ascii="仿宋_GB2312" w:hAnsi="仿宋_GB2312" w:cs="仿宋_GB2312" w:eastAsia="仿宋_GB2312"/>
                      <w:sz w:val="21"/>
                      <w:color w:val="000000"/>
                    </w:rPr>
                    <w:t>二、采购内容（包括采购品目</w:t>
                  </w:r>
                  <w:r>
                    <w:rPr>
                      <w:rFonts w:ascii="仿宋_GB2312" w:hAnsi="仿宋_GB2312" w:cs="仿宋_GB2312" w:eastAsia="仿宋_GB2312"/>
                      <w:sz w:val="21"/>
                      <w:color w:val="000000"/>
                    </w:rPr>
                    <w:t>、规格和数量）</w:t>
                  </w:r>
                </w:p>
                <w:p>
                  <w:pPr>
                    <w:pStyle w:val="null3"/>
                    <w:ind w:firstLine="420"/>
                    <w:jc w:val="both"/>
                  </w:pPr>
                  <w:r>
                    <w:rPr>
                      <w:rFonts w:ascii="仿宋_GB2312" w:hAnsi="仿宋_GB2312" w:cs="仿宋_GB2312" w:eastAsia="仿宋_GB2312"/>
                      <w:sz w:val="21"/>
                      <w:color w:val="000000"/>
                    </w:rPr>
                    <w:t>1、电子教材教参平台（含操作系统、数据库、平台后台服务系统）数量：1套</w:t>
                  </w:r>
                </w:p>
                <w:p>
                  <w:pPr>
                    <w:pStyle w:val="null3"/>
                    <w:ind w:firstLine="420"/>
                    <w:jc w:val="both"/>
                  </w:pPr>
                  <w:r>
                    <w:rPr>
                      <w:rFonts w:ascii="仿宋_GB2312" w:hAnsi="仿宋_GB2312" w:cs="仿宋_GB2312" w:eastAsia="仿宋_GB2312"/>
                      <w:sz w:val="21"/>
                      <w:color w:val="000000"/>
                    </w:rPr>
                    <w:t>2、电子教材教参电子书（本地存储）数量：2500册，其中轨道交通相关专业类电子教材教参电子书不少于1250册，包含西铁院教师主编已正式出版发行的数字教材</w:t>
                  </w:r>
                </w:p>
                <w:p>
                  <w:pPr>
                    <w:pStyle w:val="null3"/>
                    <w:ind w:firstLine="420"/>
                    <w:jc w:val="both"/>
                  </w:pPr>
                  <w:r>
                    <w:rPr>
                      <w:rFonts w:ascii="仿宋_GB2312" w:hAnsi="仿宋_GB2312" w:cs="仿宋_GB2312" w:eastAsia="仿宋_GB2312"/>
                      <w:sz w:val="21"/>
                      <w:color w:val="000000"/>
                    </w:rPr>
                    <w:t>3、电子教参资料（本地存储）数量：100份，其中轨道交通相关专业电子教参资料不少于50份</w:t>
                  </w:r>
                </w:p>
                <w:p>
                  <w:pPr>
                    <w:pStyle w:val="null3"/>
                    <w:ind w:firstLine="420"/>
                    <w:jc w:val="both"/>
                  </w:pPr>
                  <w:r>
                    <w:rPr>
                      <w:rFonts w:ascii="仿宋_GB2312" w:hAnsi="仿宋_GB2312" w:cs="仿宋_GB2312" w:eastAsia="仿宋_GB2312"/>
                      <w:sz w:val="21"/>
                      <w:color w:val="000000"/>
                    </w:rPr>
                    <w:t>4、课程、读者数据整理，数量：20000条</w:t>
                  </w:r>
                </w:p>
                <w:p>
                  <w:pPr>
                    <w:pStyle w:val="null3"/>
                    <w:ind w:firstLine="420"/>
                    <w:jc w:val="both"/>
                  </w:pPr>
                  <w:r>
                    <w:rPr>
                      <w:rFonts w:ascii="仿宋_GB2312" w:hAnsi="仿宋_GB2312" w:cs="仿宋_GB2312" w:eastAsia="仿宋_GB2312"/>
                      <w:sz w:val="21"/>
                      <w:color w:val="000000"/>
                    </w:rPr>
                    <w:t>三、技术要求（包括对产品的认证、检验报告等）</w:t>
                  </w:r>
                </w:p>
                <w:p>
                  <w:pPr>
                    <w:pStyle w:val="null3"/>
                    <w:ind w:firstLine="420"/>
                    <w:jc w:val="both"/>
                  </w:pPr>
                  <w:r>
                    <w:rPr>
                      <w:rFonts w:ascii="仿宋_GB2312" w:hAnsi="仿宋_GB2312" w:cs="仿宋_GB2312" w:eastAsia="仿宋_GB2312"/>
                      <w:sz w:val="21"/>
                      <w:color w:val="000000"/>
                    </w:rPr>
                    <w:t>3.1本项目的所需服务器操作系统、数据库、系统软件及用户页面需符合国产化信创产品要求。甲方提供虚拟机服务器（硬件：CPU:6核12线程RAM:16GB硬盘：512GB，依据储存内容相应增加软件环境：操作系统版本：WindowsServer2008-2019（32/64位）企业版）环境用以部署平台及安装资源。待甲方能够提供新的平台部署环境，乙方需免费配合甲方完成符合国产化信创要求的平台后台服务系统重新部署及电子教材教参数据的迁移。</w:t>
                  </w:r>
                </w:p>
                <w:p>
                  <w:pPr>
                    <w:pStyle w:val="null3"/>
                    <w:ind w:firstLine="420"/>
                    <w:jc w:val="both"/>
                  </w:pPr>
                  <w:r>
                    <w:rPr>
                      <w:rFonts w:ascii="仿宋_GB2312" w:hAnsi="仿宋_GB2312" w:cs="仿宋_GB2312" w:eastAsia="仿宋_GB2312"/>
                      <w:sz w:val="21"/>
                      <w:color w:val="000000"/>
                    </w:rPr>
                    <w:t>3.2系统支持B/S模式。支持对课程数据的统一检索，支持以课程为维度查看课程下的教材教参资源。检索结果中提供按照首字母、学院、学年学期、学段、专业等多种筛选方式进行聚类，可实现组合筛选。检索结果提供默认排序、入库时间、浏览量排序，支持检索时简繁互检。支持多种全文获取方式，包括本馆馆藏资源、已购买的全文数据库全文链接、本馆自加工数据。支持全文附件和全文链接。平台支持3万用户注册，可容纳不低于500门课程，不少于40万册电子教材教参资源。</w:t>
                  </w:r>
                </w:p>
                <w:p>
                  <w:pPr>
                    <w:pStyle w:val="null3"/>
                    <w:ind w:firstLine="420"/>
                    <w:jc w:val="both"/>
                  </w:pPr>
                  <w:r>
                    <w:rPr>
                      <w:rFonts w:ascii="仿宋_GB2312" w:hAnsi="仿宋_GB2312" w:cs="仿宋_GB2312" w:eastAsia="仿宋_GB2312"/>
                      <w:sz w:val="21"/>
                      <w:color w:val="000000"/>
                    </w:rPr>
                    <w:t>3.3支持多种阅读模式；提供阅读记录；支持按页添加自定义书签。</w:t>
                  </w:r>
                </w:p>
                <w:p>
                  <w:pPr>
                    <w:pStyle w:val="null3"/>
                    <w:ind w:firstLine="420"/>
                    <w:jc w:val="both"/>
                  </w:pPr>
                  <w:r>
                    <w:rPr>
                      <w:rFonts w:ascii="仿宋_GB2312" w:hAnsi="仿宋_GB2312" w:cs="仿宋_GB2312" w:eastAsia="仿宋_GB2312"/>
                      <w:sz w:val="21"/>
                      <w:color w:val="000000"/>
                    </w:rPr>
                    <w:t>3.4完成与校园融合门户系统对接。支持按照课程检索、多维度可视化图标分析；</w:t>
                  </w:r>
                </w:p>
                <w:p>
                  <w:pPr>
                    <w:pStyle w:val="null3"/>
                    <w:ind w:firstLine="420"/>
                    <w:jc w:val="both"/>
                  </w:pPr>
                  <w:r>
                    <w:rPr>
                      <w:rFonts w:ascii="仿宋_GB2312" w:hAnsi="仿宋_GB2312" w:cs="仿宋_GB2312" w:eastAsia="仿宋_GB2312"/>
                      <w:sz w:val="21"/>
                      <w:color w:val="000000"/>
                    </w:rPr>
                    <w:t>3.5支持教师个人课程管理，查看所教课程列表，新建课程；支持对当前所教课程进行资源管理、教师管理、学生管理。学生：支持查看当前所学课程列表，并可加入其他课程；支持查看当前所学课程的课程信息、教材教参资源。</w:t>
                  </w:r>
                </w:p>
                <w:p>
                  <w:pPr>
                    <w:pStyle w:val="null3"/>
                    <w:ind w:firstLine="420"/>
                    <w:jc w:val="both"/>
                  </w:pPr>
                  <w:r>
                    <w:rPr>
                      <w:rFonts w:ascii="仿宋_GB2312" w:hAnsi="仿宋_GB2312" w:cs="仿宋_GB2312" w:eastAsia="仿宋_GB2312"/>
                      <w:sz w:val="21"/>
                      <w:color w:val="000000"/>
                    </w:rPr>
                    <w:t>3.6教材教参资源管理，支持按课程维度上传、管理相关教材教参资源；电子教材教参数字图书支持PDF和epub格式，电子教参资源格式支持txt、word、excel、PowerPoint、图片（如jpg、bmp）、视频（如mp4、flv、avi、rmvb、wmv）及音频（如mp3、wma、wav）。支持按照文献模版通过批量导入、单篇上传、批量修改，添加或修改数据；支持提供不少于10亿条元数据用于教参资源的检索、补充。可根据学校具体的教材数据字段情况，自定义平台教材、教参字段表，可以对字段的名称、字段填写方式、是否参与检索、聚类、是否列表页展示等信息进行设置，支持对字段进行拖拽式新增、顺序调整。</w:t>
                  </w:r>
                </w:p>
                <w:p>
                  <w:pPr>
                    <w:pStyle w:val="null3"/>
                    <w:ind w:firstLine="420"/>
                    <w:jc w:val="both"/>
                  </w:pPr>
                  <w:r>
                    <w:rPr>
                      <w:rFonts w:ascii="仿宋_GB2312" w:hAnsi="仿宋_GB2312" w:cs="仿宋_GB2312" w:eastAsia="仿宋_GB2312"/>
                      <w:sz w:val="21"/>
                      <w:color w:val="000000"/>
                    </w:rPr>
                    <w:t>3.7支持对课程下的教师/学生信息进行统一管理，增、删、改、查教师与课程的开课关系。添加教师信息或学生信息时，基于用户信息模板，提供批量导入、单条添加2种数据上传方式。</w:t>
                  </w:r>
                </w:p>
                <w:p>
                  <w:pPr>
                    <w:pStyle w:val="null3"/>
                    <w:ind w:firstLine="420"/>
                    <w:jc w:val="both"/>
                  </w:pPr>
                  <w:r>
                    <w:rPr>
                      <w:rFonts w:ascii="仿宋_GB2312" w:hAnsi="仿宋_GB2312" w:cs="仿宋_GB2312" w:eastAsia="仿宋_GB2312"/>
                      <w:sz w:val="21"/>
                      <w:color w:val="000000"/>
                    </w:rPr>
                    <w:t>3.8完成对接学校融合门户，限定用户使用范围；教参门户支持以课程为维度查看本人所教/学课程。支持设置课程申请开关，开启后用户仅可查看本人所教/学课程，查看其他课程必须提交申请进行后台审核。支持管理员后台设置课程申请的审核模式。支持多层级版权保护： 支持后台的管理员权限设置，支持设置用户权限，包括：全文在线阅读、下载、在线全文查看等；对于无权限查看全文的用户，可支持试读设置，若支持试读，可设置能试读的页数。支持全文在线阅读页动态水印显示。</w:t>
                  </w:r>
                </w:p>
                <w:p>
                  <w:pPr>
                    <w:pStyle w:val="null3"/>
                    <w:ind w:firstLine="420"/>
                    <w:jc w:val="both"/>
                  </w:pPr>
                  <w:r>
                    <w:rPr>
                      <w:rFonts w:ascii="仿宋_GB2312" w:hAnsi="仿宋_GB2312" w:cs="仿宋_GB2312" w:eastAsia="仿宋_GB2312"/>
                      <w:sz w:val="21"/>
                      <w:color w:val="000000"/>
                    </w:rPr>
                    <w:t>3.9支持对教参资源平台里所有资源和使用情况等数据进行统计，包括：元数据统计、各资源占比、资源更新趋势统计。支持按时间段筛选门户访问统计，包括网站总访问量、今日访问量、日均访问量，访问量变化趋势等；支持多维度查看资源使用统计，包括：热门资源统计及相关用户信息、学院访问排行榜、课程访问排行榜；支持统计热门检索词及检索量；支持导出平台使用情况统计。提供前台使用日志，记录内容包括用户名、操作类型、操作详情和操作日期，能够按浏览、检索、资源获取操作类型进行查找和筛选，并支持导出记录信息。</w:t>
                  </w:r>
                </w:p>
                <w:p>
                  <w:pPr>
                    <w:pStyle w:val="null3"/>
                    <w:ind w:firstLine="420"/>
                    <w:jc w:val="both"/>
                  </w:pPr>
                  <w:r>
                    <w:rPr>
                      <w:rFonts w:ascii="仿宋_GB2312" w:hAnsi="仿宋_GB2312" w:cs="仿宋_GB2312" w:eastAsia="仿宋_GB2312"/>
                      <w:sz w:val="21"/>
                      <w:color w:val="000000"/>
                    </w:rPr>
                    <w:t>四、服务要求</w:t>
                  </w:r>
                </w:p>
                <w:p>
                  <w:pPr>
                    <w:pStyle w:val="null3"/>
                    <w:ind w:firstLine="420"/>
                    <w:jc w:val="both"/>
                  </w:pPr>
                  <w:r>
                    <w:rPr>
                      <w:rFonts w:ascii="仿宋_GB2312" w:hAnsi="仿宋_GB2312" w:cs="仿宋_GB2312" w:eastAsia="仿宋_GB2312"/>
                      <w:sz w:val="21"/>
                      <w:color w:val="000000"/>
                    </w:rPr>
                    <w:t>1、系统建设中平台中提供的电子书资源需要拥有版权，数字化的纸质教材保证只在本校校园网内浏览，数字化的页面需加水印。</w:t>
                  </w:r>
                </w:p>
                <w:p>
                  <w:pPr>
                    <w:pStyle w:val="null3"/>
                    <w:ind w:firstLine="420"/>
                    <w:jc w:val="both"/>
                  </w:pPr>
                  <w:r>
                    <w:rPr>
                      <w:rFonts w:ascii="仿宋_GB2312" w:hAnsi="仿宋_GB2312" w:cs="仿宋_GB2312" w:eastAsia="仿宋_GB2312"/>
                      <w:sz w:val="21"/>
                      <w:color w:val="000000"/>
                    </w:rPr>
                    <w:t>2、按照规定时间完成项目建设，提供系统使用说明等必备资料。</w:t>
                  </w:r>
                </w:p>
                <w:p>
                  <w:pPr>
                    <w:pStyle w:val="null3"/>
                    <w:ind w:firstLine="420"/>
                    <w:jc w:val="both"/>
                  </w:pPr>
                  <w:r>
                    <w:rPr>
                      <w:rFonts w:ascii="仿宋_GB2312" w:hAnsi="仿宋_GB2312" w:cs="仿宋_GB2312" w:eastAsia="仿宋_GB2312"/>
                      <w:sz w:val="21"/>
                      <w:color w:val="000000"/>
                    </w:rPr>
                    <w:t>3、卖方应保证合同项下所供货物是合同规定厂家制造的、全新的、未使用过的、并完全符合合同规定的质量、规格和性能要求的合格产品，提供的电子图书需拥有版权，数字化加工的电子图书的原始数据需加水印，并将原始数据提供给甲方。</w:t>
                  </w:r>
                </w:p>
                <w:p>
                  <w:pPr>
                    <w:pStyle w:val="null3"/>
                    <w:ind w:firstLine="420"/>
                    <w:jc w:val="both"/>
                  </w:pPr>
                  <w:r>
                    <w:rPr>
                      <w:rFonts w:ascii="仿宋_GB2312" w:hAnsi="仿宋_GB2312" w:cs="仿宋_GB2312" w:eastAsia="仿宋_GB2312"/>
                      <w:sz w:val="21"/>
                      <w:color w:val="000000"/>
                    </w:rPr>
                    <w:t>4、质量保证期为终验合格之日起质保36个月。质保期内如产品硬件软件出现故障，由乙方在规定时间内以合理的速度进行免费维修或者更换。</w:t>
                  </w:r>
                </w:p>
                <w:p>
                  <w:pPr>
                    <w:pStyle w:val="null3"/>
                    <w:ind w:firstLine="420"/>
                    <w:jc w:val="both"/>
                  </w:pPr>
                  <w:r>
                    <w:rPr>
                      <w:rFonts w:ascii="仿宋_GB2312" w:hAnsi="仿宋_GB2312" w:cs="仿宋_GB2312" w:eastAsia="仿宋_GB2312"/>
                      <w:sz w:val="21"/>
                      <w:color w:val="000000"/>
                    </w:rPr>
                    <w:t>5、乙方应对甲方设备管理人员进行技术培训，确保甲方人员能够具备各类设备和软件的管理能力。</w:t>
                  </w:r>
                </w:p>
                <w:p>
                  <w:pPr>
                    <w:pStyle w:val="null3"/>
                    <w:ind w:firstLine="420"/>
                    <w:jc w:val="both"/>
                  </w:pPr>
                  <w:r>
                    <w:rPr>
                      <w:rFonts w:ascii="仿宋_GB2312" w:hAnsi="仿宋_GB2312" w:cs="仿宋_GB2312" w:eastAsia="仿宋_GB2312"/>
                      <w:sz w:val="21"/>
                      <w:color w:val="000000"/>
                    </w:rPr>
                    <w:t>五、商务要求</w:t>
                  </w:r>
                </w:p>
                <w:p>
                  <w:pPr>
                    <w:pStyle w:val="null3"/>
                    <w:ind w:firstLine="495"/>
                  </w:pPr>
                  <w:r>
                    <w:rPr>
                      <w:rFonts w:ascii="仿宋_GB2312" w:hAnsi="仿宋_GB2312" w:cs="仿宋_GB2312" w:eastAsia="仿宋_GB2312"/>
                      <w:sz w:val="21"/>
                      <w:color w:val="000000"/>
                    </w:rPr>
                    <w:t>1、履约保证金：</w:t>
                  </w:r>
                </w:p>
                <w:p>
                  <w:pPr>
                    <w:pStyle w:val="null3"/>
                    <w:ind w:firstLine="495"/>
                  </w:pPr>
                  <w:r>
                    <w:rPr>
                      <w:rFonts w:ascii="仿宋_GB2312" w:hAnsi="仿宋_GB2312" w:cs="仿宋_GB2312" w:eastAsia="仿宋_GB2312"/>
                      <w:sz w:val="21"/>
                      <w:color w:val="000000"/>
                    </w:rPr>
                    <w:t>1）成交方在签订合同前须向采购方交纳合同总金额5%的履约保证金。</w:t>
                  </w:r>
                </w:p>
                <w:p>
                  <w:pPr>
                    <w:pStyle w:val="null3"/>
                    <w:ind w:firstLine="495"/>
                  </w:pPr>
                  <w:r>
                    <w:rPr>
                      <w:rFonts w:ascii="仿宋_GB2312" w:hAnsi="仿宋_GB2312" w:cs="仿宋_GB2312" w:eastAsia="仿宋_GB2312"/>
                      <w:sz w:val="21"/>
                      <w:color w:val="000000"/>
                    </w:rPr>
                    <w:t>2）成交方无正当理由不与采购方订立合同，在签订合同时向采购方提出附加条件，或者不按照招标文件要求提交履约保证金的，取消其成交资格，招标保证金不予退还。</w:t>
                  </w:r>
                </w:p>
                <w:p>
                  <w:pPr>
                    <w:pStyle w:val="null3"/>
                    <w:ind w:firstLine="495"/>
                  </w:pPr>
                  <w:r>
                    <w:rPr>
                      <w:rFonts w:ascii="仿宋_GB2312" w:hAnsi="仿宋_GB2312" w:cs="仿宋_GB2312" w:eastAsia="仿宋_GB2312"/>
                      <w:sz w:val="21"/>
                      <w:color w:val="000000"/>
                    </w:rPr>
                    <w:t>3）项目验收合格后，采购方向成交方无息退还履约保证金。</w:t>
                  </w:r>
                </w:p>
                <w:p>
                  <w:pPr>
                    <w:pStyle w:val="null3"/>
                    <w:ind w:firstLine="495"/>
                  </w:pPr>
                  <w:r>
                    <w:rPr>
                      <w:rFonts w:ascii="仿宋_GB2312" w:hAnsi="仿宋_GB2312" w:cs="仿宋_GB2312" w:eastAsia="仿宋_GB2312"/>
                      <w:sz w:val="21"/>
                      <w:color w:val="000000"/>
                    </w:rPr>
                    <w:t>2、付款方式：</w:t>
                  </w:r>
                </w:p>
                <w:p>
                  <w:pPr>
                    <w:pStyle w:val="null3"/>
                    <w:ind w:firstLine="495"/>
                  </w:pPr>
                  <w:r>
                    <w:rPr>
                      <w:rFonts w:ascii="仿宋_GB2312" w:hAnsi="仿宋_GB2312" w:cs="仿宋_GB2312" w:eastAsia="仿宋_GB2312"/>
                      <w:sz w:val="21"/>
                      <w:color w:val="000000"/>
                    </w:rPr>
                    <w:t>签订合同后</w:t>
                  </w:r>
                  <w:r>
                    <w:rPr>
                      <w:rFonts w:ascii="仿宋_GB2312" w:hAnsi="仿宋_GB2312" w:cs="仿宋_GB2312" w:eastAsia="仿宋_GB2312"/>
                      <w:sz w:val="21"/>
                      <w:color w:val="000000"/>
                    </w:rPr>
                    <w:t>30天内，成交方持履约保证金交纳凭证、合同、预付款发票，至买方处办理合同总价款的40%预付款项，项目完成并验收合格（达到使用标准）后，成交方持《终验合格单》原件及发票在采购方处办理剩余货款的支付手续</w:t>
                  </w:r>
                  <w:r>
                    <w:rPr>
                      <w:rFonts w:ascii="仿宋_GB2312" w:hAnsi="仿宋_GB2312" w:cs="仿宋_GB2312" w:eastAsia="仿宋_GB2312"/>
                      <w:sz w:val="21"/>
                      <w:color w:val="000000"/>
                    </w:rPr>
                    <w:t>。</w:t>
                  </w:r>
                </w:p>
                <w:p>
                  <w:pPr>
                    <w:pStyle w:val="null3"/>
                    <w:ind w:firstLine="495"/>
                  </w:pPr>
                  <w:r>
                    <w:rPr>
                      <w:rFonts w:ascii="仿宋_GB2312" w:hAnsi="仿宋_GB2312" w:cs="仿宋_GB2312" w:eastAsia="仿宋_GB2312"/>
                      <w:sz w:val="21"/>
                      <w:color w:val="000000"/>
                    </w:rPr>
                    <w:t>3、交货时间：自合同签订后60个工作日供货完毕。</w:t>
                  </w:r>
                </w:p>
                <w:p>
                  <w:pPr>
                    <w:pStyle w:val="null3"/>
                    <w:ind w:firstLine="495"/>
                  </w:pPr>
                  <w:r>
                    <w:rPr>
                      <w:rFonts w:ascii="仿宋_GB2312" w:hAnsi="仿宋_GB2312" w:cs="仿宋_GB2312" w:eastAsia="仿宋_GB2312"/>
                      <w:sz w:val="21"/>
                      <w:color w:val="000000"/>
                    </w:rPr>
                    <w:t>4、交货地点：采购方指定地点。</w:t>
                  </w:r>
                </w:p>
                <w:p>
                  <w:pPr>
                    <w:pStyle w:val="null3"/>
                    <w:ind w:firstLine="420"/>
                    <w:jc w:val="both"/>
                  </w:pPr>
                  <w:r>
                    <w:rPr>
                      <w:rFonts w:ascii="仿宋_GB2312" w:hAnsi="仿宋_GB2312" w:cs="仿宋_GB2312" w:eastAsia="仿宋_GB2312"/>
                      <w:sz w:val="21"/>
                      <w:color w:val="000000"/>
                    </w:rPr>
                    <w:t>六、其他</w:t>
                  </w:r>
                </w:p>
                <w:p>
                  <w:pPr>
                    <w:pStyle w:val="null3"/>
                    <w:ind w:firstLine="420"/>
                    <w:jc w:val="both"/>
                  </w:pPr>
                  <w:r>
                    <w:rPr>
                      <w:rFonts w:ascii="仿宋_GB2312" w:hAnsi="仿宋_GB2312" w:cs="仿宋_GB2312" w:eastAsia="仿宋_GB2312"/>
                      <w:sz w:val="21"/>
                      <w:color w:val="000000"/>
                    </w:rPr>
                    <w:t>（一）对供应商业绩的要求。</w:t>
                  </w:r>
                </w:p>
                <w:p>
                  <w:pPr>
                    <w:pStyle w:val="null3"/>
                    <w:ind w:firstLine="420"/>
                    <w:jc w:val="both"/>
                  </w:pPr>
                  <w:r>
                    <w:rPr>
                      <w:rFonts w:ascii="仿宋_GB2312" w:hAnsi="仿宋_GB2312" w:cs="仿宋_GB2312" w:eastAsia="仿宋_GB2312"/>
                      <w:sz w:val="21"/>
                      <w:color w:val="000000"/>
                    </w:rPr>
                    <w:t>供应商须具有省内高校同类项目经验。</w:t>
                  </w:r>
                </w:p>
                <w:p>
                  <w:pPr>
                    <w:pStyle w:val="null3"/>
                    <w:ind w:firstLine="420"/>
                    <w:jc w:val="both"/>
                  </w:pPr>
                  <w:r>
                    <w:rPr>
                      <w:rFonts w:ascii="仿宋_GB2312" w:hAnsi="仿宋_GB2312" w:cs="仿宋_GB2312" w:eastAsia="仿宋_GB2312"/>
                      <w:sz w:val="21"/>
                      <w:color w:val="000000"/>
                    </w:rPr>
                    <w:t>（二）质量验收标准或规范</w:t>
                  </w:r>
                </w:p>
                <w:p>
                  <w:pPr>
                    <w:pStyle w:val="null3"/>
                    <w:ind w:firstLine="420"/>
                    <w:jc w:val="both"/>
                  </w:pPr>
                  <w:r>
                    <w:rPr>
                      <w:rFonts w:ascii="仿宋_GB2312" w:hAnsi="仿宋_GB2312" w:cs="仿宋_GB2312" w:eastAsia="仿宋_GB2312"/>
                      <w:sz w:val="21"/>
                      <w:color w:val="000000"/>
                    </w:rPr>
                    <w:t>产品符合国家相关检测标准，提供招标文件要求的相关佐证文件，系统运行符合行业标准。</w:t>
                  </w:r>
                </w:p>
                <w:p>
                  <w:pPr>
                    <w:pStyle w:val="null3"/>
                    <w:ind w:firstLine="420"/>
                    <w:jc w:val="both"/>
                  </w:pPr>
                  <w:r>
                    <w:rPr>
                      <w:rFonts w:ascii="仿宋_GB2312" w:hAnsi="仿宋_GB2312" w:cs="仿宋_GB2312" w:eastAsia="仿宋_GB2312"/>
                      <w:sz w:val="21"/>
                      <w:color w:val="000000"/>
                    </w:rPr>
                    <w:t>（三）产品质保期</w:t>
                  </w:r>
                </w:p>
                <w:p>
                  <w:pPr>
                    <w:pStyle w:val="null3"/>
                    <w:ind w:firstLine="420"/>
                    <w:jc w:val="both"/>
                  </w:pPr>
                  <w:r>
                    <w:rPr>
                      <w:rFonts w:ascii="仿宋_GB2312" w:hAnsi="仿宋_GB2312" w:cs="仿宋_GB2312" w:eastAsia="仿宋_GB2312"/>
                      <w:sz w:val="21"/>
                      <w:color w:val="000000"/>
                    </w:rPr>
                    <w:t>自验收合格之日起</w:t>
                  </w:r>
                  <w:r>
                    <w:rPr>
                      <w:rFonts w:ascii="仿宋_GB2312" w:hAnsi="仿宋_GB2312" w:cs="仿宋_GB2312" w:eastAsia="仿宋_GB2312"/>
                      <w:sz w:val="21"/>
                      <w:color w:val="000000"/>
                    </w:rPr>
                    <w:t>36个月.质保期内硬件、软件、数字资源故障应在规定时间内进行免费维修，重新安装或者返厂更换。</w:t>
                  </w:r>
                </w:p>
                <w:p>
                  <w:pPr>
                    <w:pStyle w:val="null3"/>
                    <w:ind w:firstLine="420"/>
                    <w:jc w:val="both"/>
                  </w:pPr>
                  <w:r>
                    <w:rPr>
                      <w:rFonts w:ascii="仿宋_GB2312" w:hAnsi="仿宋_GB2312" w:cs="仿宋_GB2312" w:eastAsia="仿宋_GB2312"/>
                      <w:sz w:val="21"/>
                      <w:color w:val="000000"/>
                    </w:rPr>
                    <w:t>（四）违约责任</w:t>
                  </w:r>
                </w:p>
                <w:p>
                  <w:pPr>
                    <w:pStyle w:val="null3"/>
                    <w:ind w:firstLine="420"/>
                    <w:jc w:val="both"/>
                  </w:pPr>
                  <w:r>
                    <w:rPr>
                      <w:rFonts w:ascii="仿宋_GB2312" w:hAnsi="仿宋_GB2312" w:cs="仿宋_GB2312" w:eastAsia="仿宋_GB2312"/>
                      <w:sz w:val="21"/>
                      <w:color w:val="000000"/>
                    </w:rPr>
                    <w:t>违反本协议导致合同无法继续履行的，除扣除履约保证金外赔偿所有实际损失。</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自合同签订后60个工作日供货完毕。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签订合同后30天内，成交方持履约保证金交纳凭证、合同、预付款发票，至买方处办理合同总价款的40%预付款项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货物全部运到采购方指定地方,安装调试完毕并经终验合格后60天内,成交方持《终验合格单》原件及全额发票在采购方处办理全部货款的交付手续</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产品符合国家相关检测标准，提供招标文件要求的相关佐证文件，系统运行符合行业标准。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终验合格之日起质保36个月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违反本协议导致合同无法继续履行的，除扣除履约保证金外赔偿所有实际损失。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谈判报价是供应商响应谈判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三、签名是指手写签名或者加盖名章，盖章是指加盖单位印章。 四、谈判有效期 1.出现特殊情况需要延长谈判有效期的，采购代理机构或采购人可于谈判有效期满之前，以书面形式通知所有供应商延长谈判有效期。供应商应予书面答复，同意延长的，应相应延长其谈判保证金有效期，但不得要求或被允许修改其响应文件；供应商拒绝延长的，其响应文件失效，递交谈判保证金的，供应商有权收回其谈判保证金。 2.在谈判有效期内，供应商撤销响应文件的，应承担谈判文件和法律规定的责任。 3.成交供应商的谈判有效期自动延长至合同终止为止。 五、合格供应商少于3家的处理 评审过程中，合格供应商少于3家时，采购人应依法重新组织采购活动。 六、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法定代表人（主要负责人）委托代理人参加时，应提供法定代表人（主要负责人）委托授权书；法定代表人（主要负责人）亲自参加时，应提供法定代表人（主要负责人）身份证明书。</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具有履行本合同所必需的设备和专业技术能力的书面声明.docx 供应商无重大违法记录书面声明.docx 响应文件封面 产品技术参数表 残疾人福利性单位声明函 标的清单 授权书.docx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谈判（供应商无须提供，谈判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特定资格证明文件.docx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特定资格证明文件.docx 供应商应提交的相关资格证明材料 具有履行本合同所必需的设备和专业技术能力的书面声明.docx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特定资格证明文件.docx 供应商应提交的相关资格证明材料 供应商无重大违法记录书面声明.docx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供应商拒绝政府采购领域商业贿赂承诺书</w:t>
            </w:r>
          </w:p>
        </w:tc>
        <w:tc>
          <w:tcPr>
            <w:tcW w:type="dxa" w:w="1661"/>
          </w:tcPr>
          <w:p>
            <w:pPr>
              <w:pStyle w:val="null3"/>
            </w:pPr>
            <w:r>
              <w:rPr>
                <w:rFonts w:ascii="仿宋_GB2312" w:hAnsi="仿宋_GB2312" w:cs="仿宋_GB2312" w:eastAsia="仿宋_GB2312"/>
              </w:rPr>
              <w:t>特定资格证明文件.docx 供应商应提交的相关资格证明材料 陕西省政府采购供应商拒绝政府采购领域商业贿赂承诺书.docx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特定资格证明文件.docx 供应商应提交的相关资格证明材料 本项目不接受联合体.docx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具有履行本合同所必需的设备和专业技术能力的书面声明.docx 供应商无重大违法记录书面声明.docx 响应文件封面 产品技术参数表 残疾人福利性单位声明函 标的清单 授权书.docx 响应函 本项目不接受联合体.docx 陕西省政府采购供应商拒绝政府采购领域商业贿赂承诺书.docx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自合同签订后60个工作日供货完毕</w:t>
            </w:r>
          </w:p>
        </w:tc>
        <w:tc>
          <w:tcPr>
            <w:tcW w:type="dxa" w:w="1661"/>
          </w:tcPr>
          <w:p>
            <w:pPr>
              <w:pStyle w:val="null3"/>
            </w:pPr>
            <w:r>
              <w:rPr>
                <w:rFonts w:ascii="仿宋_GB2312" w:hAnsi="仿宋_GB2312" w:cs="仿宋_GB2312" w:eastAsia="仿宋_GB2312"/>
              </w:rPr>
              <w:t>响应文件封面 商务应答表 供应商应提交的相关资格证明材料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采购方指定地点</w:t>
            </w:r>
          </w:p>
        </w:tc>
        <w:tc>
          <w:tcPr>
            <w:tcW w:type="dxa" w:w="1661"/>
          </w:tcPr>
          <w:p>
            <w:pPr>
              <w:pStyle w:val="null3"/>
            </w:pPr>
            <w:r>
              <w:rPr>
                <w:rFonts w:ascii="仿宋_GB2312" w:hAnsi="仿宋_GB2312" w:cs="仿宋_GB2312" w:eastAsia="仿宋_GB2312"/>
              </w:rPr>
              <w:t>响应文件封面 商务应答表 供应商应提交的相关资格证明材料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供应商应提交的相关资格证明材料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与竞争性谈判文件商务要求条款不一致或增加了采购人难以接受的条款</w:t>
            </w:r>
          </w:p>
        </w:tc>
        <w:tc>
          <w:tcPr>
            <w:tcW w:type="dxa" w:w="1661"/>
          </w:tcPr>
          <w:p>
            <w:pPr>
              <w:pStyle w:val="null3"/>
            </w:pPr>
            <w:r>
              <w:rPr>
                <w:rFonts w:ascii="仿宋_GB2312" w:hAnsi="仿宋_GB2312" w:cs="仿宋_GB2312" w:eastAsia="仿宋_GB2312"/>
              </w:rPr>
              <w:t>响应文件封面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是否符合法律法规和竞争性谈判文件规定的其他实质性要求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