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版本号：HC-FZB-2025-04420250904001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西安市灞桥区人民检察院法警训练室改造提升项目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HC-FZB-2025-044</w:t>
      </w:r>
      <w:r>
        <w:br/>
      </w:r>
      <w:r>
        <w:br/>
      </w:r>
      <w:r>
        <w:br/>
      </w:r>
    </w:p>
    <w:p>
      <w:pPr>
        <w:pStyle w:val="null3"/>
        <w:jc w:val="center"/>
        <w:outlineLvl w:val="2"/>
      </w:pPr>
      <w:r>
        <w:rPr>
          <w:rFonts w:ascii="仿宋_GB2312" w:hAnsi="仿宋_GB2312" w:cs="仿宋_GB2312" w:eastAsia="仿宋_GB2312"/>
          <w:sz w:val="28"/>
          <w:b/>
        </w:rPr>
        <w:t>西安市灞桥区人民检察院[170]</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西安市灞桥区人民检察院[170]</w:t>
      </w:r>
      <w:r>
        <w:rPr>
          <w:rFonts w:ascii="仿宋_GB2312" w:hAnsi="仿宋_GB2312" w:cs="仿宋_GB2312" w:eastAsia="仿宋_GB2312"/>
        </w:rPr>
        <w:t>委托，拟对</w:t>
      </w:r>
      <w:r>
        <w:rPr>
          <w:rFonts w:ascii="仿宋_GB2312" w:hAnsi="仿宋_GB2312" w:cs="仿宋_GB2312" w:eastAsia="仿宋_GB2312"/>
        </w:rPr>
        <w:t>西安市灞桥区人民检察院法警训练室改造提升项目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HC-FZB-2025-044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西安市灞桥区人民检察院法警训练室改造提升项目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人民检察院司法警察训练大纲》要求，做好训练场地、训练器材、训练装备建设，激发法警的训练积极性，我院法警训练室改造提升项目预算30万元，包含单警装备、警械专用柜、防爆处突装备、法警训练设备采购及法警训练室改造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采购包1（西安市灞桥区人民检察院法警训练室改造提升项目）：属于专门面向小微企业采购。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参加政府采购活动前3年内在经营活动中没有重大违法记录：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pPr>
        <w:pStyle w:val="null3"/>
      </w:pPr>
      <w:r>
        <w:rPr>
          <w:rFonts w:ascii="仿宋_GB2312" w:hAnsi="仿宋_GB2312" w:cs="仿宋_GB2312" w:eastAsia="仿宋_GB2312"/>
        </w:rPr>
        <w:t>3、信用主体查询 ：供应商未被列入“信用中国”网站（www.creditchina.gov.cn）记录失信被执行人；不处于中国政府采购网（www.ccgp.gov.cn）政府采购严重违法失信行为信息记录中的禁止参加政府采购活动期间；供应商应提供承诺书，格式及内容具体参见“响应文件格式”；</w:t>
      </w:r>
    </w:p>
    <w:p>
      <w:pPr>
        <w:pStyle w:val="null3"/>
      </w:pPr>
      <w:r>
        <w:rPr>
          <w:rFonts w:ascii="仿宋_GB2312" w:hAnsi="仿宋_GB2312" w:cs="仿宋_GB2312" w:eastAsia="仿宋_GB2312"/>
        </w:rPr>
        <w:t>4、财务状况报告 ：提供2024年度经会计师事务所或审计机构出具完整的财务审计报告（成立时间至提交投标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 ：提供投标截止日前6个月内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 ：提供投标截止日前6个月内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7、法定代表人授权书 ：法定代表人授权书及被授权人身份证复印件（法定代表人直接参加投标只须提供法定代表人身份证明）；供应商需在项目电子化交易系统中按要求上传相应证明文件并进行电子签章；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8、本项目不接受联合体响应，不允许分包 ：本项目不接受联合体响应，不允许分包：供应商提供《非联合体、不分包投标声明》，视为独立响应，不分包；供应商应提供承诺书，格式及内容具体参见“响应文件格式”。</w:t>
      </w:r>
    </w:p>
    <w:p>
      <w:pPr>
        <w:pStyle w:val="null3"/>
      </w:pPr>
      <w:r>
        <w:rPr>
          <w:rFonts w:ascii="仿宋_GB2312" w:hAnsi="仿宋_GB2312" w:cs="仿宋_GB2312" w:eastAsia="仿宋_GB2312"/>
        </w:rPr>
        <w:t>9、声明 ：供应商提供具有履行合同所必需的设备和专业技术能力的声明；供应商应提供承诺书，格式及内容具体参见“响应文件格式”。</w:t>
      </w:r>
    </w:p>
    <w:p>
      <w:pPr>
        <w:pStyle w:val="null3"/>
      </w:pPr>
      <w:r>
        <w:rPr>
          <w:rFonts w:ascii="仿宋_GB2312" w:hAnsi="仿宋_GB2312" w:cs="仿宋_GB2312" w:eastAsia="仿宋_GB2312"/>
        </w:rPr>
        <w:t>10、本项目专门面向中小企业采购：本项目专门面向中小企业采购。供应商需在项目电子化交易系统中按要求上传相应证明文件并进行电子签章；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西安市灞桥区人民检察院[170]</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灞柳二路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西安市灞桥区人民检察院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029-83517129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张向宁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15619691896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收取。不足5000元，按5000元收取。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西安市灞桥区人民检察院[170]</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西安市灞桥区人民检察院[170]</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采购包1：符合行业相关标准及采购人标准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联系人：张向宁</w:t>
      </w:r>
    </w:p>
    <w:p>
      <w:pPr>
        <w:pStyle w:val="null3"/>
      </w:pPr>
      <w:r>
        <w:rPr>
          <w:rFonts w:ascii="仿宋_GB2312" w:hAnsi="仿宋_GB2312" w:cs="仿宋_GB2312" w:eastAsia="仿宋_GB2312"/>
        </w:rPr>
        <w:t>联系电话：15619691896</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人民检察院司法警察训练大纲》要求，做好训练场地、训练器材、训练装备建设，激发法警的训练积极性，我院法警训练室改造提升项目预算30万元，包含单警装备、警械专用柜、防爆处突装备、法警训练设备采购及法警训练室改造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本项目采购标的所属行业为工业。(按照《工信部 国家统计局 发改委 财政部工信部联企业》中小企业划型标准((2011)300号)规定：工业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信用中国”网站（www.creditchina.gov.cn）记录失信被执行人；不处于中国政府采购网（www.ccgp.gov.cn）政府采购严重违法失信行为信息记录中的禁止参加政府采购活动期间；供应商应提供承诺书，格式及内容具体参见“响应文件格式”；</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或审计机构出具完整的财务审计报告（成立时间至提交投标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本项目不接受联合体响应，不允许分包：供应商提供《非联合体、不分包投标声明》，视为独立响应，不分包；供应商应提供承诺书，格式及内容具体参见“响应文件格式”。</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供应商提供具有履行合同所必需的设备和专业技术能力的声明；供应商应提供承诺书，格式及内容具体参见“响应文件格式”。</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投标方案说明书.docx 产品技术参数表 分项报价表.docx 中小企业声明函 残疾人福利性单位声明函 商务应答表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1、技术参数明确配置齐全、功能满足招标文件要求，对每个要求逐条进行明确响应，技术指标全部响应，没有负偏离得基础分25分。 2、参数中带“▲”的参数为重要参数，证明材料中每一条带▲技术指标负偏离或未提供证明材料扣2分，扣完为止；（证明材料例如：第三方检测报告、厂家检验报告、产品彩页或说明书、官网功能截图等内容） 3、其他参数每负偏离一项扣0.5分。 4、如评审小组认为供应商出现复制粘贴招标文件技术要求的情况，每出现一处扣1分，最高不超过5分。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根据本项目实际需求及特点，制定实施方案，实施方案内容包含（1）实施计划（2）供货、安装、调试（3）验收措施（4）保障实施进度的措施（5）效果图、平面图。 二、评审标准 1、完整性：切合本项目实际情况，方案内容齐全，对招标文件中各项要求有详细描述及其他内容的补充； 2、合理性：方案内容符合项目实际特点，合理、恰当； 3、针对性：切合本项目实际情况，根据招标文件要求提出针对本项目实际操作性强的措施方案。 三、赋分标准（满分15分） （1）实施计划：每完全满足一个评审标准得1分，满分3分； （2）供货、安装、调试：每完全满足一个评审标准得1分，满分3分； （3）验收措施计划：每完全满足一个评审标准得1分，满分3分； （4）保障实施进度的措施：每完全满足一个评审标准得1分，满分3分。 （5）效果图、平面图：每完全满足一个评审标准得1分，满分3分。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的合法来源渠道证明文件（包括但不限于产品制造商授权、销售协议、代理协议、原厂授权等）、保证所投产品均符合国家强制标准或行业标准，无知识产权纠纷、水货、假货、贴牌、翻新产品，提供相关证明资料，每提供一种采购清单中货物的合法来源渠道证明文件得2分，最高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 （1）售后服务范围 （2）售后服务响应时间及方式 （3）故障处理及补救措施 （4）定期回访及维护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三、赋分标准（满分12分） 1、售后服务范围：每完全满足一个评审标准得1分，满分3分； 2、售后服务响应时间及方式：每完全满足一个评审标准得1分，满分3分； 3、故障处理及补救措施：每完全满足一个评审标准得1分，满分3分； 4、定期回访及维护：每完全满足一个评审标准得1分，满分3分。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 根据项目实际需求，提供针对本项目的履约能力，应包含（1）人力、财力、物力调配（2）运输保障。 二、评审标准 1、完整性：切合本项目实际情况，内容齐全，对招标文件中各项要求有详细描述及其他内容的补充； 2、科学性：切合本项目实际情况，叙述清楚，符合客观实际情况； 3、合理性：内容符合项目实际特点，合理、恰当； 二、赋分标准（满分6分） （1）人力、财力、物力调配：每完全满足一个评审标准得1分，满分3分； （2）运输保障：每完全满足一个评审标准得1分，满分3分。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供应商提供2022年1月1日至今类似项目业绩（同时提供合同及中标通知书，以合同签订时间为准），每份计2分，最高计6分。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