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版本号：GZH-ZB-20250805320250905001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不动产登记业务智能咨询系统提升运营项目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GZH-ZB-202508053</w:t>
      </w:r>
      <w:r>
        <w:br/>
      </w:r>
      <w:r>
        <w:br/>
      </w:r>
      <w:r>
        <w:br/>
      </w:r>
    </w:p>
    <w:p>
      <w:pPr>
        <w:pStyle w:val="null3"/>
        <w:jc w:val="center"/>
        <w:outlineLvl w:val="2"/>
      </w:pPr>
      <w:r>
        <w:rPr>
          <w:rFonts w:ascii="仿宋_GB2312" w:hAnsi="仿宋_GB2312" w:cs="仿宋_GB2312" w:eastAsia="仿宋_GB2312"/>
          <w:sz w:val="28"/>
          <w:b/>
        </w:rPr>
        <w:t>西安市不动产登记服务中心</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西安市不动产登记服务中心</w:t>
      </w:r>
      <w:r>
        <w:rPr>
          <w:rFonts w:ascii="仿宋_GB2312" w:hAnsi="仿宋_GB2312" w:cs="仿宋_GB2312" w:eastAsia="仿宋_GB2312"/>
        </w:rPr>
        <w:t>委托，拟对</w:t>
      </w:r>
      <w:r>
        <w:rPr>
          <w:rFonts w:ascii="仿宋_GB2312" w:hAnsi="仿宋_GB2312" w:cs="仿宋_GB2312" w:eastAsia="仿宋_GB2312"/>
        </w:rPr>
        <w:t>不动产登记业务智能咨询系统提升运营项目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GZH-ZB-202508053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不动产登记业务智能咨询系统提升运营项目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优化不动产登记营商环境，推进“互联网+政务服务”，提升不动产登记工作效率，给企业、群众提供更加方便快捷的办事环境。基于2024年度智能问答系统的建设成果(应用名称“秦小登”，挂接于微信公众号，已完成基础语义分析、高频业务咨询应答等功能)2025年度不动产登记业务智能咨询系统提升运营项目将重点围绕系统智能化升级与长效运营能力强化两大方向展开，通过引入大模型技术与数字人交互界面，解决现有智能问答系统在复杂场景理解、多轮对话流畅性、服务亲和力等方面的不足，实现从“功能可用”向“体验优、解决快、覆盖广”的跨越式升级，同时构建全生命周期运营体系，确保系统持续优化迭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采购包1（不动产登记业务智能咨询系统提升运营项目）：属于专门面向中小企业采购。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①可提供2024年度经审计的财务报告（包含审计报告和审计报告中所涉及的财务报表和报表附注），②可提供2024年度供应商完整的全套财务报表（应当包括资产负债表、利润表、现金流量表、所有者权益变动表），③可提供截至响应文件提交截止日一年内银行出具的资信证明（以上三种形式的资料提供任何一种即可）。</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朱雀大街中段朱雀云天大厦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029-85569560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说明：供应商领取项目成交通知书后，向采购代理机构缴纳项目履约保证金；服务期结束后，供应商持项目履约验收单到采购代理机构，采购代理机构将原路退还项目履约保证金。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财政部颁发的《政府采购代理机构管理暂行办法》(财库〔2018〕2号)的有关规定执行，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西安市不动产登记服务中心</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西安市不动产登记服务中心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本项目磋商文件、成交供应商响应文件、已签订的合同文本及国家/行业相关标准及规范等要求标准验收。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优化不动产登记营商环境，推进“互联网+政务服务”，提升不动产登记工作效率，给企业、群众提供更加方便快捷的办事环境。基于2024年度智能问答系统的建设成果(应用名称“秦小登”，挂接于微信公众号，已完成基础语义分析、高频业务咨询应答等功能)2025年度不动产登记业务智能咨询系统提升运营项目将重点围绕系统智能化升级与长效运营能力强化两大方向展开，通过引入大模型技术与数字人交互界面，解决现有智能问答系统在复杂场景理解、多轮对话流畅性、服务亲和力等方面的不足，实现从“功能可用”向“体验优、解决快、覆盖广”的跨越式升级，同时构建全生命周期运营体系，确保系统持续优化迭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智能咨询系统提升运营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标的名称：智能咨询系统提升运营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为优化不动产登记营商环境，推进</w:t>
            </w:r>
            <w:r>
              <w:rPr>
                <w:rFonts w:ascii="仿宋_GB2312" w:hAnsi="仿宋_GB2312" w:cs="仿宋_GB2312" w:eastAsia="仿宋_GB2312"/>
                <w:sz w:val="20"/>
              </w:rPr>
              <w:t>“互联网+政务服务”，提升不动产登记工作效率，给企业、群众提供更加方便快捷的办事环境。基于2024年度智能问答系统的建设成果(应用名称“秦小登”，挂接于微信公众号，已完成基础语义分析、高频业务咨询应答等功能)2025年度不动产登记业务智能咨询系统提升运营项目将重点围绕系统智能化升级与长效运营能力强化两大方向展开，通过引入大模型技术与数字人交互界面，解决现有智能问答系统在复杂场景理解、多轮对话流畅性、服务亲和力等方面的不足，实现从“功能可用”向“体验优、解决快、覆盖广”的跨越式升级，同时构建全生命周期运营体系，确保系统持续优化迭代。</w:t>
            </w:r>
          </w:p>
          <w:p>
            <w:pPr>
              <w:pStyle w:val="null3"/>
              <w:jc w:val="both"/>
            </w:pPr>
            <w:r>
              <w:rPr>
                <w:rFonts w:ascii="仿宋_GB2312" w:hAnsi="仿宋_GB2312" w:cs="仿宋_GB2312" w:eastAsia="仿宋_GB2312"/>
                <w:sz w:val="20"/>
                <w:b/>
              </w:rPr>
              <w:t>二、建设内容及功能</w:t>
            </w:r>
          </w:p>
          <w:p>
            <w:pPr>
              <w:pStyle w:val="null3"/>
              <w:ind w:firstLine="400"/>
              <w:jc w:val="both"/>
            </w:pPr>
            <w:r>
              <w:rPr>
                <w:rFonts w:ascii="仿宋_GB2312" w:hAnsi="仿宋_GB2312" w:cs="仿宋_GB2312" w:eastAsia="仿宋_GB2312"/>
                <w:sz w:val="20"/>
              </w:rPr>
              <w:t>基于</w:t>
            </w:r>
            <w:r>
              <w:rPr>
                <w:rFonts w:ascii="仿宋_GB2312" w:hAnsi="仿宋_GB2312" w:cs="仿宋_GB2312" w:eastAsia="仿宋_GB2312"/>
                <w:sz w:val="20"/>
              </w:rPr>
              <w:t>2024年该项目已完成的建设成果(应用名称“秦小登”挂接于微信公众号，已完成基础语义分析、高频业务咨询应答等功能)基础上，进一步实现以下功能应用：</w:t>
            </w:r>
          </w:p>
          <w:tbl>
            <w:tblPr>
              <w:tblInd w:type="dxa" w:w="120"/>
              <w:tblBorders>
                <w:top w:val="none" w:color="000000" w:sz="4"/>
                <w:left w:val="none" w:color="000000" w:sz="4"/>
                <w:bottom w:val="none" w:color="000000" w:sz="4"/>
                <w:right w:val="none" w:color="000000" w:sz="4"/>
                <w:insideH w:val="none"/>
                <w:insideV w:val="none"/>
              </w:tblBorders>
            </w:tblPr>
            <w:tblGrid>
              <w:gridCol w:w="322"/>
              <w:gridCol w:w="402"/>
              <w:gridCol w:w="1829"/>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类别</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规格说明</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智能问答</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语音交互</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除了纯文本交互，也提供语音交互能力，通过语音识别</w:t>
                  </w:r>
                  <w:r>
                    <w:rPr>
                      <w:rFonts w:ascii="仿宋_GB2312" w:hAnsi="仿宋_GB2312" w:cs="仿宋_GB2312" w:eastAsia="仿宋_GB2312"/>
                      <w:sz w:val="20"/>
                    </w:rPr>
                    <w:t>(ASR)将语音转化为文字，满足更多场景诉求。</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大语言模型</w:t>
                  </w:r>
                  <w:r>
                    <w:rPr>
                      <w:rFonts w:ascii="仿宋_GB2312" w:hAnsi="仿宋_GB2312" w:cs="仿宋_GB2312" w:eastAsia="仿宋_GB2312"/>
                      <w:sz w:val="20"/>
                    </w:rPr>
                    <w:t>(DeepSeek)</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接入</w:t>
                  </w:r>
                  <w:r>
                    <w:rPr>
                      <w:rFonts w:ascii="仿宋_GB2312" w:hAnsi="仿宋_GB2312" w:cs="仿宋_GB2312" w:eastAsia="仿宋_GB2312"/>
                      <w:sz w:val="20"/>
                    </w:rPr>
                    <w:t>DeepSeek大模型：具备多轮会话功能；上下文理解能力、关键信息提取深层识别意图，上下文保持准确性：能够正确理解和应答至少5轮连续对话。</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专业术语解</w:t>
                  </w:r>
                </w:p>
                <w:p>
                  <w:pPr>
                    <w:pStyle w:val="null3"/>
                    <w:jc w:val="center"/>
                  </w:pPr>
                  <w:r>
                    <w:rPr>
                      <w:rFonts w:ascii="仿宋_GB2312" w:hAnsi="仿宋_GB2312" w:cs="仿宋_GB2312" w:eastAsia="仿宋_GB2312"/>
                      <w:sz w:val="20"/>
                    </w:rPr>
                    <w:t>释</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内嵌不动产术语词典，支持用户点击随时查看定义，方便群众理解答案含义。展示不动产相关名词，通过更直白文字解释，让群众浅显易懂。联记笔相关业多领域的专业名词进行详细阐释。</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推荐问题</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根据用户问题，在回答末尾自动生成</w:t>
                  </w:r>
                  <w:r>
                    <w:rPr>
                      <w:rFonts w:ascii="仿宋_GB2312" w:hAnsi="仿宋_GB2312" w:cs="仿宋_GB2312" w:eastAsia="仿宋_GB2312"/>
                      <w:sz w:val="20"/>
                    </w:rPr>
                    <w:t>3-5个相关追问推荐，点击即可发起新提问。</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知识来源标</w:t>
                  </w:r>
                </w:p>
                <w:p>
                  <w:pPr>
                    <w:pStyle w:val="null3"/>
                    <w:jc w:val="center"/>
                  </w:pPr>
                  <w:r>
                    <w:rPr>
                      <w:rFonts w:ascii="仿宋_GB2312" w:hAnsi="仿宋_GB2312" w:cs="仿宋_GB2312" w:eastAsia="仿宋_GB2312"/>
                      <w:sz w:val="20"/>
                    </w:rPr>
                    <w:t>注</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当用户提问未在知识库中找到匹配答案，由大模型自动生成回复内容时，需对该类回答进行标注。在模型自动生成的回答末尾，添加统一标识</w:t>
                  </w:r>
                  <w:r>
                    <w:rPr>
                      <w:rFonts w:ascii="仿宋_GB2312" w:hAnsi="仿宋_GB2312" w:cs="仿宋_GB2312" w:eastAsia="仿宋_GB2312"/>
                      <w:sz w:val="20"/>
                    </w:rPr>
                    <w:t>(如“【注：本回答由大模型自动生成，仅供参考，具体以官方信息为准】”)，直观提示用户内容来源及参考属性。</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功能应用</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办事指南</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业务线上指引，覆盖继承、抵押、变更等登记业务，支持材料清单新增和下载</w:t>
                  </w:r>
                  <w:r>
                    <w:rPr>
                      <w:rFonts w:ascii="仿宋_GB2312" w:hAnsi="仿宋_GB2312" w:cs="仿宋_GB2312" w:eastAsia="仿宋_GB2312"/>
                      <w:sz w:val="20"/>
                    </w:rPr>
                    <w:t>(PDF格式)，可嵌入“常见错误示例”。</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办事网点</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集成全市各个登记分中心实时信息，包括：</w:t>
                  </w:r>
                </w:p>
                <w:p>
                  <w:pPr>
                    <w:pStyle w:val="null3"/>
                    <w:jc w:val="both"/>
                  </w:pPr>
                  <w:r>
                    <w:rPr>
                      <w:rFonts w:ascii="仿宋_GB2312" w:hAnsi="仿宋_GB2312" w:cs="仿宋_GB2312" w:eastAsia="仿宋_GB2312"/>
                      <w:sz w:val="20"/>
                    </w:rPr>
                    <w:t>地图导航</w:t>
                  </w:r>
                  <w:r>
                    <w:rPr>
                      <w:rFonts w:ascii="仿宋_GB2312" w:hAnsi="仿宋_GB2312" w:cs="仿宋_GB2312" w:eastAsia="仿宋_GB2312"/>
                      <w:sz w:val="20"/>
                    </w:rPr>
                    <w:t>(支持高德/腾讯地图一键跳转)</w:t>
                  </w:r>
                </w:p>
                <w:p>
                  <w:pPr>
                    <w:pStyle w:val="null3"/>
                    <w:jc w:val="both"/>
                  </w:pPr>
                  <w:r>
                    <w:rPr>
                      <w:rFonts w:ascii="仿宋_GB2312" w:hAnsi="仿宋_GB2312" w:cs="仿宋_GB2312" w:eastAsia="仿宋_GB2312"/>
                      <w:sz w:val="20"/>
                    </w:rPr>
                    <w:t>预约电话直拨</w:t>
                  </w:r>
                  <w:r>
                    <w:rPr>
                      <w:rFonts w:ascii="仿宋_GB2312" w:hAnsi="仿宋_GB2312" w:cs="仿宋_GB2312" w:eastAsia="仿宋_GB2312"/>
                      <w:sz w:val="20"/>
                    </w:rPr>
                    <w:t>(点击后自动呼出手机拨号界面)</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业务指导</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提供视频上传路径，支持上传科普视频、宣传视频等内容</w:t>
                  </w:r>
                </w:p>
              </w:tc>
            </w:tr>
            <w:tr>
              <w:tc>
                <w:tcPr>
                  <w:tcW w:type="dxa" w:w="322"/>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常见问题</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根据用户历史提问数据，分类展示高频问题及典型提问</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业务运营后台</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数据查询及</w:t>
                  </w:r>
                </w:p>
                <w:p>
                  <w:pPr>
                    <w:pStyle w:val="null3"/>
                    <w:jc w:val="center"/>
                  </w:pPr>
                  <w:r>
                    <w:rPr>
                      <w:rFonts w:ascii="仿宋_GB2312" w:hAnsi="仿宋_GB2312" w:cs="仿宋_GB2312" w:eastAsia="仿宋_GB2312"/>
                      <w:sz w:val="20"/>
                    </w:rPr>
                    <w:t>报表统计</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用户访问统计</w:t>
                  </w:r>
                  <w:r>
                    <w:rPr>
                      <w:rFonts w:ascii="仿宋_GB2312" w:hAnsi="仿宋_GB2312" w:cs="仿宋_GB2312" w:eastAsia="仿宋_GB2312"/>
                      <w:sz w:val="20"/>
                    </w:rPr>
                    <w:t>(注册用户数、累计访问次数、累计咨询次数等)功能使用统计(总访问量、平均停留时间、跳出率、访问趋势等)</w:t>
                  </w:r>
                </w:p>
                <w:p>
                  <w:pPr>
                    <w:pStyle w:val="null3"/>
                    <w:jc w:val="both"/>
                  </w:pPr>
                  <w:r>
                    <w:rPr>
                      <w:rFonts w:ascii="仿宋_GB2312" w:hAnsi="仿宋_GB2312" w:cs="仿宋_GB2312" w:eastAsia="仿宋_GB2312"/>
                      <w:sz w:val="20"/>
                    </w:rPr>
                    <w:t>查询响应时间：在大规模数据集中，根据不同指标和时间段进行查询，平均响应时间不超过</w:t>
                  </w:r>
                  <w:r>
                    <w:rPr>
                      <w:rFonts w:ascii="仿宋_GB2312" w:hAnsi="仿宋_GB2312" w:cs="仿宋_GB2312" w:eastAsia="仿宋_GB2312"/>
                      <w:sz w:val="20"/>
                    </w:rPr>
                    <w:t>3秒。</w:t>
                  </w:r>
                </w:p>
                <w:p>
                  <w:pPr>
                    <w:pStyle w:val="null3"/>
                    <w:jc w:val="both"/>
                  </w:pPr>
                  <w:r>
                    <w:rPr>
                      <w:rFonts w:ascii="仿宋_GB2312" w:hAnsi="仿宋_GB2312" w:cs="仿宋_GB2312" w:eastAsia="仿宋_GB2312"/>
                      <w:sz w:val="20"/>
                    </w:rPr>
                    <w:t>报表生成准确性</w:t>
                  </w:r>
                  <w:r>
                    <w:rPr>
                      <w:rFonts w:ascii="仿宋_GB2312" w:hAnsi="仿宋_GB2312" w:cs="仿宋_GB2312" w:eastAsia="仿宋_GB2312"/>
                      <w:sz w:val="20"/>
                    </w:rPr>
                    <w:t>95%以上：生成的数据报表准确无误，数据统计结果可靠。</w:t>
                  </w:r>
                </w:p>
              </w:tc>
            </w:tr>
            <w:tr>
              <w:tc>
                <w:tcPr>
                  <w:tcW w:type="dxa" w:w="322"/>
                  <w:vMerge/>
                  <w:tcBorders>
                    <w:top w:val="none" w:color="000000" w:sz="4"/>
                    <w:left w:val="single" w:color="000000" w:sz="4"/>
                    <w:bottom w:val="single" w:color="000000" w:sz="4"/>
                    <w:right w:val="single" w:color="000000" w:sz="4"/>
                  </w:tcBorders>
                </w:tcP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个性化应用</w:t>
                  </w:r>
                </w:p>
                <w:p>
                  <w:pPr>
                    <w:pStyle w:val="null3"/>
                    <w:jc w:val="center"/>
                  </w:pPr>
                  <w:r>
                    <w:rPr>
                      <w:rFonts w:ascii="仿宋_GB2312" w:hAnsi="仿宋_GB2312" w:cs="仿宋_GB2312" w:eastAsia="仿宋_GB2312"/>
                      <w:sz w:val="20"/>
                    </w:rPr>
                    <w:t>配置</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支持后台自主配置办事指南、办事网点、常见问题及业务指导的内容</w:t>
                  </w:r>
                </w:p>
              </w:tc>
            </w:tr>
            <w:tr>
              <w:tc>
                <w:tcPr>
                  <w:tcW w:type="dxa" w:w="322"/>
                  <w:vMerge/>
                  <w:tcBorders>
                    <w:top w:val="none" w:color="000000" w:sz="4"/>
                    <w:left w:val="single" w:color="000000" w:sz="4"/>
                    <w:bottom w:val="single" w:color="000000" w:sz="4"/>
                    <w:right w:val="single" w:color="000000" w:sz="4"/>
                  </w:tcBorders>
                </w:tcPr>
                <w:p/>
              </w:tc>
              <w:tc>
                <w:tcPr>
                  <w:tcW w:type="dxa" w:w="40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支持自定义应用排序及显示状态</w:t>
                  </w:r>
                </w:p>
              </w:tc>
            </w:tr>
            <w:tr>
              <w:tc>
                <w:tcPr>
                  <w:tcW w:type="dxa" w:w="322"/>
                  <w:vMerge/>
                  <w:tcBorders>
                    <w:top w:val="none" w:color="000000" w:sz="4"/>
                    <w:left w:val="single" w:color="000000" w:sz="4"/>
                    <w:bottom w:val="single" w:color="000000" w:sz="4"/>
                    <w:right w:val="single" w:color="000000" w:sz="4"/>
                  </w:tcBorders>
                </w:tcP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个性化界面</w:t>
                  </w:r>
                </w:p>
                <w:p>
                  <w:pPr>
                    <w:pStyle w:val="null3"/>
                    <w:jc w:val="center"/>
                  </w:pPr>
                  <w:r>
                    <w:rPr>
                      <w:rFonts w:ascii="仿宋_GB2312" w:hAnsi="仿宋_GB2312" w:cs="仿宋_GB2312" w:eastAsia="仿宋_GB2312"/>
                      <w:sz w:val="20"/>
                    </w:rPr>
                    <w:t>配置</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支持查看用户历史咨询记录，包含用户</w:t>
                  </w:r>
                  <w:r>
                    <w:rPr>
                      <w:rFonts w:ascii="仿宋_GB2312" w:hAnsi="仿宋_GB2312" w:cs="仿宋_GB2312" w:eastAsia="仿宋_GB2312"/>
                      <w:sz w:val="20"/>
                    </w:rPr>
                    <w:t>ID、问题、答案及提问时间</w:t>
                  </w:r>
                </w:p>
              </w:tc>
            </w:tr>
            <w:tr>
              <w:tc>
                <w:tcPr>
                  <w:tcW w:type="dxa" w:w="322"/>
                  <w:vMerge/>
                  <w:tcBorders>
                    <w:top w:val="none" w:color="000000" w:sz="4"/>
                    <w:left w:val="single" w:color="000000" w:sz="4"/>
                    <w:bottom w:val="single" w:color="000000" w:sz="4"/>
                    <w:right w:val="single" w:color="000000" w:sz="4"/>
                  </w:tcBorders>
                </w:tcPr>
                <w:p/>
              </w:tc>
              <w:tc>
                <w:tcPr>
                  <w:tcW w:type="dxa" w:w="40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支持查看用户反馈记录，包含用户问题、答案、反馈内容及反馈时间</w:t>
                  </w:r>
                </w:p>
              </w:tc>
            </w:tr>
            <w:tr>
              <w:tc>
                <w:tcPr>
                  <w:tcW w:type="dxa" w:w="322"/>
                  <w:vMerge/>
                  <w:tcBorders>
                    <w:top w:val="none" w:color="000000" w:sz="4"/>
                    <w:left w:val="single" w:color="000000" w:sz="4"/>
                    <w:bottom w:val="single" w:color="000000" w:sz="4"/>
                    <w:right w:val="single" w:color="000000" w:sz="4"/>
                  </w:tcBorders>
                </w:tcP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用户问题与</w:t>
                  </w:r>
                </w:p>
                <w:p>
                  <w:pPr>
                    <w:pStyle w:val="null3"/>
                    <w:jc w:val="center"/>
                  </w:pPr>
                  <w:r>
                    <w:rPr>
                      <w:rFonts w:ascii="仿宋_GB2312" w:hAnsi="仿宋_GB2312" w:cs="仿宋_GB2312" w:eastAsia="仿宋_GB2312"/>
                      <w:sz w:val="20"/>
                    </w:rPr>
                    <w:t>反馈</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支持查看用户历史咨询记录，包含用户</w:t>
                  </w:r>
                  <w:r>
                    <w:rPr>
                      <w:rFonts w:ascii="仿宋_GB2312" w:hAnsi="仿宋_GB2312" w:cs="仿宋_GB2312" w:eastAsia="仿宋_GB2312"/>
                      <w:sz w:val="20"/>
                    </w:rPr>
                    <w:t>ID、问题、答案及提问时间</w:t>
                  </w:r>
                </w:p>
              </w:tc>
            </w:tr>
            <w:tr>
              <w:tc>
                <w:tcPr>
                  <w:tcW w:type="dxa" w:w="322"/>
                  <w:vMerge/>
                  <w:tcBorders>
                    <w:top w:val="none" w:color="000000" w:sz="4"/>
                    <w:left w:val="single" w:color="000000" w:sz="4"/>
                    <w:bottom w:val="single" w:color="000000" w:sz="4"/>
                    <w:right w:val="single" w:color="000000" w:sz="4"/>
                  </w:tcBorders>
                </w:tcPr>
                <w:p/>
              </w:tc>
              <w:tc>
                <w:tcPr>
                  <w:tcW w:type="dxa" w:w="40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支持查看用户反馈记录，包含用户问题、答案、反馈内容及反馈时间</w:t>
                  </w:r>
                </w:p>
              </w:tc>
            </w:tr>
            <w:tr>
              <w:tc>
                <w:tcPr>
                  <w:tcW w:type="dxa" w:w="322"/>
                  <w:vMerge/>
                  <w:tcBorders>
                    <w:top w:val="none" w:color="000000" w:sz="4"/>
                    <w:left w:val="single" w:color="000000" w:sz="4"/>
                    <w:bottom w:val="single" w:color="000000" w:sz="4"/>
                    <w:right w:val="single" w:color="000000" w:sz="4"/>
                  </w:tcBorders>
                </w:tcPr>
                <w:p/>
              </w:tc>
              <w:tc>
                <w:tcPr>
                  <w:tcW w:type="dxa" w:w="22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借助数字人的形象，给用户带来更直观、更专业的服务体验。</w:t>
                  </w:r>
                </w:p>
              </w:tc>
            </w:tr>
          </w:tbl>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程序版权及使用权归采购人所有；该项目是基于2024年度该项目已完成的建设成果基础上进一步完善升级，供应商应保证上一年度建设成果与此次采购内容(模块功能)之间的顺利衔接：供应商在项目实施中，如需要与第三方实现对接或数据交互时，供应商应提供相应的技术支持和数据接口，配合第三方做好技术衔接工作，供应商不得以任接口推诿并收取费用，所有涉及系统接口对接费用包含在项目总价内，由供应商负责。</w:t>
            </w:r>
          </w:p>
          <w:p>
            <w:pPr>
              <w:pStyle w:val="null3"/>
              <w:ind w:firstLine="400"/>
              <w:jc w:val="both"/>
            </w:pPr>
            <w:r>
              <w:rPr>
                <w:rFonts w:ascii="仿宋_GB2312" w:hAnsi="仿宋_GB2312" w:cs="仿宋_GB2312" w:eastAsia="仿宋_GB2312"/>
                <w:sz w:val="20"/>
              </w:rPr>
              <w:t>2、项目建设周期及运营服务期内，免费软件升级，全天候24小时电话服务咨询，保证在系统发生故障时即时响应，有故障12小时内到达现场，24小时内排除故障。</w:t>
            </w:r>
          </w:p>
          <w:p>
            <w:pPr>
              <w:pStyle w:val="null3"/>
              <w:ind w:firstLine="400"/>
              <w:jc w:val="both"/>
            </w:pPr>
            <w:r>
              <w:rPr>
                <w:rFonts w:ascii="仿宋_GB2312" w:hAnsi="仿宋_GB2312" w:cs="仿宋_GB2312" w:eastAsia="仿宋_GB2312"/>
                <w:sz w:val="20"/>
              </w:rPr>
              <w:t>3、项目建设周期及运营服务期内，供应商确定一名项目负责人专人负责项目具体事务对接；在项目建设周期及运营服务期内，排除故障的期限不得超过24小时(工作日)。否则采购人有权指定第三方维修，维修费用由供应商承担。</w:t>
            </w:r>
          </w:p>
          <w:p>
            <w:pPr>
              <w:pStyle w:val="null3"/>
              <w:ind w:firstLine="400"/>
              <w:jc w:val="both"/>
            </w:pPr>
            <w:r>
              <w:rPr>
                <w:rFonts w:ascii="仿宋_GB2312" w:hAnsi="仿宋_GB2312" w:cs="仿宋_GB2312" w:eastAsia="仿宋_GB2312"/>
                <w:sz w:val="20"/>
              </w:rPr>
              <w:t>4、供应商应提供相应的培训计划，详细说明培训的方式、地点、人数、时间等实质性内容。</w:t>
            </w:r>
          </w:p>
          <w:p>
            <w:pPr>
              <w:pStyle w:val="null3"/>
              <w:ind w:firstLine="400"/>
              <w:jc w:val="both"/>
            </w:pPr>
            <w:r>
              <w:rPr>
                <w:rFonts w:ascii="仿宋_GB2312" w:hAnsi="仿宋_GB2312" w:cs="仿宋_GB2312" w:eastAsia="仿宋_GB2312"/>
                <w:sz w:val="20"/>
              </w:rPr>
              <w:t>5、系统建设完成后，及时进行系统测试上线，并在运营服务期，根据系统建设运营情况及群众反馈情况，及时进行系统优化。</w:t>
            </w:r>
          </w:p>
          <w:p>
            <w:pPr>
              <w:pStyle w:val="null3"/>
              <w:jc w:val="both"/>
            </w:pPr>
            <w:r>
              <w:rPr>
                <w:rFonts w:ascii="仿宋_GB2312" w:hAnsi="仿宋_GB2312" w:cs="仿宋_GB2312" w:eastAsia="仿宋_GB2312"/>
                <w:sz w:val="20"/>
              </w:rPr>
              <w:t>6、供应商需采取切实有效的措施，确保系统数据的保密性、安全性和完整性，涉及敏感数据时严格遵循安全性原则。</w:t>
            </w:r>
          </w:p>
          <w:p>
            <w:pPr>
              <w:pStyle w:val="null3"/>
              <w:jc w:val="both"/>
            </w:pPr>
            <w:r>
              <w:rPr>
                <w:rFonts w:ascii="仿宋_GB2312" w:hAnsi="仿宋_GB2312" w:cs="仿宋_GB2312" w:eastAsia="仿宋_GB2312"/>
                <w:sz w:val="20"/>
                <w:b/>
              </w:rPr>
              <w:t>四、商务要求</w:t>
            </w:r>
          </w:p>
          <w:p>
            <w:pPr>
              <w:pStyle w:val="null3"/>
              <w:ind w:firstLine="400"/>
              <w:jc w:val="both"/>
            </w:pPr>
            <w:r>
              <w:rPr>
                <w:rFonts w:ascii="仿宋_GB2312" w:hAnsi="仿宋_GB2312" w:cs="仿宋_GB2312" w:eastAsia="仿宋_GB2312"/>
                <w:sz w:val="20"/>
              </w:rPr>
              <w:t>1、建设周期及运营服务期：建设周期自合同签订后30日历天，运营服务期自合同签订之日起一年。</w:t>
            </w:r>
          </w:p>
          <w:p>
            <w:pPr>
              <w:pStyle w:val="null3"/>
              <w:jc w:val="both"/>
            </w:pPr>
            <w:r>
              <w:rPr>
                <w:rFonts w:ascii="仿宋_GB2312" w:hAnsi="仿宋_GB2312" w:cs="仿宋_GB2312" w:eastAsia="仿宋_GB2312"/>
                <w:sz w:val="20"/>
              </w:rPr>
              <w:t>2、服务地点：采购人指定地点。</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建设周期自合同签订后30日历天，运营服务期自合同签订之日起一年。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严格按照本项目磋商文件、成交供应商响应文件、已签订的合同文本及国家/行业相关标准及规范等要求标准验收。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合同签订后，经供应商申请采购人同意后，供应商应提供等额费用发票，采购人支付第一笔项目费用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在2025年12月10日前，供应商向采购人提出项目阶段性验收申请，验收合格后，供应商应提供等额费用发票，采购人支付剩余款项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年度经审计的财务报告（包含审计报告和审计报告中所涉及的财务报表和报表附注），②可提供2024年度供应商完整的全套财务报表（应当包括资产负债表、利润表、现金流量表、所有者权益变动表），③可提供截至响应文件提交截止日一年内银行出具的资信证明（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同时满足以下条款：（1）货币单位符合磋商文件要求；（2）报价符合唯一性要求；（3）未超出采购预算、最高限价及保险费限额；（4）符合《报价表》及《标的清单》的填报要求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供应商提供针对本项目提供的技术服务方案（包括但不限于功能设置、性能目标、日常维护、升级服务、技术保障等）。技术服务方案内容全面、合理、可实施性强、框架清晰、与项目贴合性高得10分；技术服务方案内容较全面、合理、可实施性较强、框架较清晰得7分；技术服务方案内容不够全面、合理及可行、框架不够清晰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系统安全方案</w:t>
            </w:r>
          </w:p>
        </w:tc>
        <w:tc>
          <w:tcPr>
            <w:tcW w:type="dxa" w:w="2492"/>
          </w:tcPr>
          <w:p>
            <w:pPr>
              <w:pStyle w:val="null3"/>
            </w:pPr>
            <w:r>
              <w:rPr>
                <w:rFonts w:ascii="仿宋_GB2312" w:hAnsi="仿宋_GB2312" w:cs="仿宋_GB2312" w:eastAsia="仿宋_GB2312"/>
              </w:rPr>
              <w:t>系统建设完成后，供应商须承诺本次建设开发的系统通过安全等级保护测评，并获得测评机构出具的测评报告，系统安全等级不低于三级。供应商提供不动产相关信息系统安全设计方案：方案完整详细、可操作性强、合理、可行，并提供符合招标要求的测评报告的，计10分；方案较完整，可操作性较强，与实际需求偏差较少，未提供测评报告的，计分6分；方案基本完整，可操作性一般，与实际需求有偏差，未提供测评报告的，计4分；方案内容不完整，响应有缺项，与实际需求不符，计2分；无承诺或未提供方案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数据对接方案</w:t>
            </w:r>
          </w:p>
        </w:tc>
        <w:tc>
          <w:tcPr>
            <w:tcW w:type="dxa" w:w="2492"/>
          </w:tcPr>
          <w:p>
            <w:pPr>
              <w:pStyle w:val="null3"/>
            </w:pPr>
            <w:r>
              <w:rPr>
                <w:rFonts w:ascii="仿宋_GB2312" w:hAnsi="仿宋_GB2312" w:cs="仿宋_GB2312" w:eastAsia="仿宋_GB2312"/>
              </w:rPr>
              <w:t>供应商须承诺本次建设开发的系统能够接入采购人已搭建的智能客服系统微信公众号和微信小程序。供应商须提供对接方案详细说明：系统对接方案详实、合理可行、可操作性强，计5分；系统对接方案基本完整、可操作性一般，计3分；系统对接方案不完整、不合理，有明显缺项，计1分；无承诺或未提供方案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知识产权转让方案</w:t>
            </w:r>
          </w:p>
        </w:tc>
        <w:tc>
          <w:tcPr>
            <w:tcW w:type="dxa" w:w="2492"/>
          </w:tcPr>
          <w:p>
            <w:pPr>
              <w:pStyle w:val="null3"/>
            </w:pPr>
            <w:r>
              <w:rPr>
                <w:rFonts w:ascii="仿宋_GB2312" w:hAnsi="仿宋_GB2312" w:cs="仿宋_GB2312" w:eastAsia="仿宋_GB2312"/>
              </w:rPr>
              <w:t>合同履行完成，供应商须承诺无偿并完整的向采购人转让本次采购项目技术成果的知识产权，以用于后期系统的进一步完善及改进，如后期需要与第三方实现对接或数据交互时，供应商应提供相应的技术支持和数据接口，并配合第三方做好技术衔接工作，供应商不得以任何借口推诿并收取费用。供应商根据情况提供知识产权转让方案：方案完整详细、可操作性强、合理、可行，计5分；方案基本完整，可操作性一般，与实际需求有偏差，计3分；方案内容不完整，响应有缺项，与实际需求不符，计1分；无承诺或未提供方案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制定合理、可行的培训方案，培训内容包含本项目所有需要培训的图文/视频课程、模拟考试题库、专家问答等，且具有实质性培训图文案例、有承接规模性网络培训经验、有线上学习培训平台、有完善的不动产行业专家智库等。方案全面合理可行、针对性强、且能提供实质性培训内容与案例得10分，方案较全面合理可行、针对性较强得6分；方案基本合理可行、针对性一般得4分，方案部分合理可行、有一定针对性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组织机构及工作计划安排</w:t>
            </w:r>
          </w:p>
        </w:tc>
        <w:tc>
          <w:tcPr>
            <w:tcW w:type="dxa" w:w="2492"/>
          </w:tcPr>
          <w:p>
            <w:pPr>
              <w:pStyle w:val="null3"/>
            </w:pPr>
            <w:r>
              <w:rPr>
                <w:rFonts w:ascii="仿宋_GB2312" w:hAnsi="仿宋_GB2312" w:cs="仿宋_GB2312" w:eastAsia="仿宋_GB2312"/>
              </w:rPr>
              <w:t>供应商提供针对本项目的专业的组织机构、工作计划安排以及服务时间响应。组织机构完整、工作计划安排合理、服务响应及时且有效得10分；组织机构较较完整、工作计划安排较合理、服务响应及时欠有效得7分；方案组织机构不够完整、工作计划安排不合理、服务响应不及时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质量管理措施、完善的质量保证管理体系。质量保证措施完整全面，合理性及可行性强得8分；质量保证措施较完整全面，合理性及可行性较强得5分；质量保证措施简单，不完整，合理性及可行性一般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可能出现的问题及突发事件，有具体可行的应急措施和解决方案，内容包括但不限于运维响应时间、定期巡查、应急解决方案、服务监督管理机制、服务承诺等。应急措施详尽，合理可行，逻辑清楚，针对性及可行性强，得8分；应急措施较完善，有一定的逻辑性、针对性、可行性，得6分；应急措施内容基本合理，基本可行得4分；应急措施内容简单笼统，方案针对性一般得2分；应急措施内容缺失、方案针对性较差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的售后服务方案(包含售后服务体系、服务保障方案、人员配置安排、响应时间和服务电话、运维服务移动端小程序软著及使用界面截图等内容)进行评审：响应售后服务要求，服务方案内容详实、运维服务能力强且提供软著及截图的，计8分。响应售后服务要求，服务方案内容较详实、运维服务能力较好且较切合实际的，计6分。基本响应售后服务要求，服务方案基本符合要求，运维服务能力基本符合要求，计4分。方案内容不完整，响应有缺项，与实际需求不符，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主要技术人员</w:t>
            </w:r>
          </w:p>
        </w:tc>
        <w:tc>
          <w:tcPr>
            <w:tcW w:type="dxa" w:w="2492"/>
          </w:tcPr>
          <w:p>
            <w:pPr>
              <w:pStyle w:val="null3"/>
            </w:pPr>
            <w:r>
              <w:rPr>
                <w:rFonts w:ascii="仿宋_GB2312" w:hAnsi="仿宋_GB2312" w:cs="仿宋_GB2312" w:eastAsia="仿宋_GB2312"/>
              </w:rPr>
              <w:t>1.项目负责人：拟派本项目负责人同时具有PMP证书和高级项目管理师证书的，得1分。（评审依据：提供项目负责人证书复印件及近6个月社保证明，未提供证书或只提供一个证书的不得分。） 2.技术负责人：拟派本项目技术负责人具有高级系统集成项目管理工程师证书的，得1分。（评审依据：提供技术负责人证书复印件及近6个月社保证明）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技术服务团队（除项目负责人）组织架构完整，岗位设置合理、明确，投入人员专业性、经验性强，对本项目有针对性，得6分；技术服务团队（除项目负责人）组织架构基本完整，岗位设置基本合理，能够基本满足本项目采购要求，得4分；技术服务团队（除项目负责人）组织架构完善程度一般，人员岗位设置合理性一般，人员专业性、经验性一般，得2分。 评审依据：人员相关资格证书及近6个月社保证明。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1.供应商具有国家认监委认可的认证机构颁发的知识产权管理体系认证证书，计1分。(评审依据：提供有效证书扫描件及国家认监委网站的查询截图，未提供或提供内容不符合要求不得分。) 2.供应商通过信息系统建设与服务能力评估能力认证的，等级达到CS2级及以上的，计1分。(评审依据：提供有效证书扫描件及网上查询截图，未提供或提供内容不符合要求不得分。)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具有类似项目经验，每提供一份得2分，最多得6分。评审依据：提供项目中标通知书、合同复印件、系统运行页面截图证明材料并加盖公章，未提供或提供不符不得分。（签订合同前提供业绩证明材料原件备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