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版本号：SXZCZB2025-ZCCS-092020250910001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政府办公区12处漏水点维修项目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SXZCZB2025-ZCCS-0920</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政府办公区12处漏水点维修项目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SXZCZB2025-ZCCS-0920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政府办公区12处漏水点维修项目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政府办公区12处漏水点维修项目，政府办公区共有漏水点 63 处，为保障政府办公区的安全运行，减少因长期渗漏对办公区建筑物造成的进一步破坏和消除安全隐患，本项目针对其中漏水情况较为严重的 12 处点位进行维修。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采购包1（政府办公区12处漏水点维修项目）：属于专门面向中小企业采购。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9、供应商资质要求：供应商须具备建筑工程施工总承包三级以上（含三级）资质，具有有效的安全生产许可证；</w:t>
      </w:r>
    </w:p>
    <w:p>
      <w:pPr>
        <w:pStyle w:val="null3"/>
      </w:pPr>
      <w:r>
        <w:rPr>
          <w:rFonts w:ascii="仿宋_GB2312" w:hAnsi="仿宋_GB2312" w:cs="仿宋_GB2312" w:eastAsia="仿宋_GB2312"/>
        </w:rPr>
        <w:t>10、项目经理要求：拟派项目经理具有建筑工程专业二级及以上注册建造师执业资格，安全考核合格证（B证），且在本单位注册，并提供无在建工程承诺书；</w:t>
      </w:r>
    </w:p>
    <w:p>
      <w:pPr>
        <w:pStyle w:val="null3"/>
      </w:pPr>
      <w:r>
        <w:rPr>
          <w:rFonts w:ascii="仿宋_GB2312" w:hAnsi="仿宋_GB2312" w:cs="仿宋_GB2312" w:eastAsia="仿宋_GB2312"/>
        </w:rPr>
        <w:t>11、中小企业声明函：本采购包专门面向中小企业采购（提供中小企业声明函）；</w:t>
      </w:r>
    </w:p>
    <w:p>
      <w:pPr>
        <w:pStyle w:val="null3"/>
      </w:pPr>
      <w:r>
        <w:rPr>
          <w:rFonts w:ascii="仿宋_GB2312" w:hAnsi="仿宋_GB2312" w:cs="仿宋_GB2312" w:eastAsia="仿宋_GB2312"/>
        </w:rPr>
        <w:t>12、本项目不接受联合体磋商：本项目不接受联合体磋商（提供承诺书）；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029-86768801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采购包1：448,694.71元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代理服务费收费标准：以成交金额为基数，依据国家计委颁发的《招标代理服务收费管理暂行办法》（计价格〔2002〕1980号）和国家发展和改革委员会办 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448,694.71</w:t>
      </w:r>
    </w:p>
    <w:p>
      <w:pPr>
        <w:pStyle w:val="null3"/>
      </w:pPr>
      <w:r>
        <w:rPr>
          <w:rFonts w:ascii="仿宋_GB2312" w:hAnsi="仿宋_GB2312" w:cs="仿宋_GB2312" w:eastAsia="仿宋_GB2312"/>
        </w:rPr>
        <w:t>采购包最高限价（元）: 448,694.71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政府办公区12处漏水点维修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448,694.71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标的名称：政府办公区12处漏水点维修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一、项目概况</w:t>
            </w:r>
          </w:p>
          <w:p>
            <w:pPr>
              <w:pStyle w:val="null3"/>
            </w:pPr>
            <w:r>
              <w:rPr>
                <w:rFonts w:ascii="仿宋_GB2312" w:hAnsi="仿宋_GB2312" w:cs="仿宋_GB2312" w:eastAsia="仿宋_GB2312"/>
                <w:sz w:val="24"/>
                <w:color w:val="000000"/>
              </w:rPr>
              <w:t>项目名称：政府办公区漏水点维修项目</w:t>
            </w:r>
          </w:p>
          <w:p>
            <w:pPr>
              <w:pStyle w:val="null3"/>
            </w:pPr>
            <w:r>
              <w:rPr>
                <w:rFonts w:ascii="仿宋_GB2312" w:hAnsi="仿宋_GB2312" w:cs="仿宋_GB2312" w:eastAsia="仿宋_GB2312"/>
                <w:sz w:val="24"/>
                <w:color w:val="000000"/>
              </w:rPr>
              <w:t>项目地点：陕西省西安市</w:t>
            </w:r>
          </w:p>
          <w:p>
            <w:pPr>
              <w:pStyle w:val="null3"/>
            </w:pPr>
            <w:r>
              <w:rPr>
                <w:rFonts w:ascii="仿宋_GB2312" w:hAnsi="仿宋_GB2312" w:cs="仿宋_GB2312" w:eastAsia="仿宋_GB2312"/>
                <w:sz w:val="24"/>
                <w:color w:val="000000"/>
              </w:rPr>
              <w:t xml:space="preserve">项目内容：政府办公区共有漏水点 </w:t>
            </w:r>
            <w:r>
              <w:rPr>
                <w:rFonts w:ascii="仿宋_GB2312" w:hAnsi="仿宋_GB2312" w:cs="仿宋_GB2312" w:eastAsia="仿宋_GB2312"/>
                <w:sz w:val="24"/>
                <w:color w:val="000000"/>
              </w:rPr>
              <w:t xml:space="preserve">63 </w:t>
            </w:r>
            <w:r>
              <w:rPr>
                <w:rFonts w:ascii="仿宋_GB2312" w:hAnsi="仿宋_GB2312" w:cs="仿宋_GB2312" w:eastAsia="仿宋_GB2312"/>
                <w:sz w:val="24"/>
                <w:color w:val="000000"/>
              </w:rPr>
              <w:t>处，为保障政府办公区的安全运行，</w:t>
            </w:r>
          </w:p>
          <w:p>
            <w:pPr>
              <w:pStyle w:val="null3"/>
            </w:pPr>
            <w:r>
              <w:rPr>
                <w:rFonts w:ascii="仿宋_GB2312" w:hAnsi="仿宋_GB2312" w:cs="仿宋_GB2312" w:eastAsia="仿宋_GB2312"/>
                <w:sz w:val="24"/>
                <w:color w:val="000000"/>
              </w:rPr>
              <w:t>减少因长期渗漏对办公区建筑物造成的进一步破坏和消除安全隐患，本项目针对</w:t>
            </w:r>
          </w:p>
          <w:p>
            <w:pPr>
              <w:pStyle w:val="null3"/>
            </w:pPr>
            <w:r>
              <w:rPr>
                <w:rFonts w:ascii="仿宋_GB2312" w:hAnsi="仿宋_GB2312" w:cs="仿宋_GB2312" w:eastAsia="仿宋_GB2312"/>
                <w:sz w:val="24"/>
                <w:color w:val="000000"/>
              </w:rPr>
              <w:t xml:space="preserve">其中漏水情况较为严重的 </w:t>
            </w: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处点位进行维修。</w:t>
            </w:r>
          </w:p>
          <w:p>
            <w:pPr>
              <w:pStyle w:val="null3"/>
            </w:pPr>
            <w:r>
              <w:rPr>
                <w:rFonts w:ascii="仿宋_GB2312" w:hAnsi="仿宋_GB2312" w:cs="仿宋_GB2312" w:eastAsia="仿宋_GB2312"/>
                <w:sz w:val="24"/>
                <w:color w:val="000000"/>
              </w:rPr>
              <w:t>二、编制依据</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、项目情况、项目实施方案</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、《陕西省建设工程工程量清单计价计算标准》（</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、《陕西省房屋建筑与装饰工程消耗量定额》</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；《陕西省通用安装工</w:t>
            </w:r>
          </w:p>
          <w:p>
            <w:pPr>
              <w:pStyle w:val="null3"/>
            </w:pPr>
            <w:r>
              <w:rPr>
                <w:rFonts w:ascii="仿宋_GB2312" w:hAnsi="仿宋_GB2312" w:cs="仿宋_GB2312" w:eastAsia="仿宋_GB2312"/>
                <w:sz w:val="24"/>
                <w:color w:val="000000"/>
              </w:rPr>
              <w:t>程消耗量定额》</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、《陕西省房屋建筑与装饰工程基价表》</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；《陕西省通用安装工程基</w:t>
            </w:r>
          </w:p>
          <w:p>
            <w:pPr>
              <w:pStyle w:val="null3"/>
            </w:pPr>
            <w:r>
              <w:rPr>
                <w:rFonts w:ascii="仿宋_GB2312" w:hAnsi="仿宋_GB2312" w:cs="仿宋_GB2312" w:eastAsia="仿宋_GB2312"/>
                <w:sz w:val="24"/>
                <w:color w:val="000000"/>
              </w:rPr>
              <w:t>价表》</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三、暂列金</w:t>
            </w:r>
          </w:p>
          <w:p>
            <w:pPr>
              <w:pStyle w:val="null3"/>
            </w:pPr>
            <w:r>
              <w:rPr>
                <w:rFonts w:ascii="仿宋_GB2312" w:hAnsi="仿宋_GB2312" w:cs="仿宋_GB2312" w:eastAsia="仿宋_GB2312"/>
                <w:sz w:val="24"/>
                <w:color w:val="000000"/>
              </w:rPr>
              <w:t xml:space="preserve">暂列金金额 </w:t>
            </w:r>
            <w:r>
              <w:rPr>
                <w:rFonts w:ascii="仿宋_GB2312" w:hAnsi="仿宋_GB2312" w:cs="仿宋_GB2312" w:eastAsia="仿宋_GB2312"/>
                <w:sz w:val="24"/>
                <w:color w:val="000000"/>
              </w:rPr>
              <w:t xml:space="preserve">58525.35 </w:t>
            </w:r>
            <w:r>
              <w:rPr>
                <w:rFonts w:ascii="仿宋_GB2312" w:hAnsi="仿宋_GB2312" w:cs="仿宋_GB2312" w:eastAsia="仿宋_GB2312"/>
                <w:sz w:val="24"/>
                <w:color w:val="000000"/>
              </w:rPr>
              <w:t>元计入土建工程其他项目中。</w:t>
            </w:r>
          </w:p>
          <w:p>
            <w:pPr>
              <w:pStyle w:val="null3"/>
            </w:pPr>
            <w:r>
              <w:rPr>
                <w:rFonts w:ascii="仿宋_GB2312" w:hAnsi="仿宋_GB2312" w:cs="仿宋_GB2312" w:eastAsia="仿宋_GB2312"/>
                <w:sz w:val="24"/>
                <w:color w:val="000000"/>
              </w:rPr>
              <w:t xml:space="preserve">四、广联达版本 </w:t>
            </w:r>
            <w:r>
              <w:rPr>
                <w:rFonts w:ascii="仿宋_GB2312" w:hAnsi="仿宋_GB2312" w:cs="仿宋_GB2312" w:eastAsia="仿宋_GB2312"/>
                <w:sz w:val="24"/>
                <w:color w:val="000000"/>
              </w:rPr>
              <w:t>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工期：自合同签订之日起50日历天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供应商须具备建筑工程施工总承包三级以上（含三级）资质，具有有效的安全生产许可证；</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拟派项目经理具有建筑工程专业二级及以上注册建造师执业资格，安全考核合格证（B证），且在本单位注册，并提供无在建工程承诺书；</w:t>
            </w:r>
          </w:p>
        </w:tc>
        <w:tc>
          <w:tcPr>
            <w:tcW w:type="dxa" w:w="1661"/>
          </w:tcPr>
          <w:p>
            <w:pPr>
              <w:pStyle w:val="null3"/>
            </w:pPr>
            <w:r>
              <w:rPr>
                <w:rFonts w:ascii="仿宋_GB2312" w:hAnsi="仿宋_GB2312" w:cs="仿宋_GB2312" w:eastAsia="仿宋_GB2312"/>
              </w:rPr>
              <w:t>供应商应提交的相关特殊资格证明材料.docx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供应商应提交的相关特殊资格证明材料.docx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磋商方案说明书.docx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磋商方案说明书.docx 供应商应提交的相关特殊资格证明材料.docx 强制优先采购产品承诺函 响应文件封面 项目管理机构组成表 残疾人福利性单位声明函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①施工目标：每完全满足一个评审标准得1分，满分3分；②施工准备：每完全满足一个评审标准得1分，满分3分；③施工平面布置与安排：每完全满足一个评审标准得1分，满分3分。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1、完整性：方案必须全面，对评审内容中的各项要求有详细描述；2、可实施性：切合本项目实际情况，提出步骤清晰、合理的方案；3、针对性：方案能够紧扣项目实际情况，内容科学合理。 三、赋分标准（满分9分） ①施工进度计划图：每完全满足一个评审标准得1分，满分3分； ②进度计划保证措施：每完全满足一个评审标准得1分，满分3分；③工期保证措施：每完全满足一个评审标准得1分，满分3分。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三、赋分标准（15分） ①工程重难点及解决措施：每完全满足一个评审标准得2分，满分6分；②工程施工方法：每完全满足一个评审标准得2分，满分6分；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2、可实施性：切合本项目实际情况，提出步骤清晰、合理的方案；3、针对性：方案能够紧扣项目实际情况，内容科学合理。 三、赋分标准（满分3分）①新材料：每完全满足一个评审标准得0.5分，满分1.5分；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合同至少包括首页、采购内容页、金额页、甲乙双方签字盖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满足磋商文件要求且最后报价最低的供应商的价格为磋商基准价得30分，其他各供应商的最后报价得分按下列公式计算：（磋商基准价/最后磋商报价）×30％×100。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详见附件：供应商应提交的相关特殊资格证明材料.docx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