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版本号：SZT2025-SN-XC-ZC-HW-092020250909001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电子病历质控系统建设项目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SZT2025-SN-XC-ZC-HW-0920</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电子病历质控系统建设项目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SZT2025-SN-XC-ZC-HW-0920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电子病历质控系统建设项目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电子病历质控系统建设项目，旨在构建覆盖病历“创建-书写-审核-归档-反馈”全生命周期的智能化质控体系。该体系将实现三大核心功能：一是诊疗环节实时智能干预，在病历书写、医嘱开具、检查检验申请等关键节点实时触发合规性提醒，从源头减少书写缺陷与诊疗隐患；二是缺陷管理闭环化运行，建立“智能识别-分级预警-定向整改-复查归档”全流程追踪机制，支持科室与医务人员实时查看缺陷明细、整改建议及历史整改记录，推动医疗质量问题可追溯、可量化、可改进；三是终末病历全维度质控，依托自然语言处理技术对病历内涵质量进行全量自动化核查，同步生成科室/医生质控评分、缺陷类型分布、趋势分析等多维度报表。该体系将有效规范临床诊疗行为，降低医疗风险，为我院高质量发展提供技术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1、法定代表人授权委托：法定代表人参加投标的，须提供法定代表人身份证明；法定代表人授权他人参加投标的，须提供法定代表人授权委托书；</w:t>
      </w:r>
    </w:p>
    <w:p>
      <w:pPr>
        <w:pStyle w:val="null3"/>
      </w:pPr>
      <w:r>
        <w:rPr>
          <w:rFonts w:ascii="仿宋_GB2312" w:hAnsi="仿宋_GB2312" w:cs="仿宋_GB2312" w:eastAsia="仿宋_GB2312"/>
        </w:rPr>
        <w:t>2、本项目不接受联合体参加：本项目不接受联合体参加；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西安市人民医院（西安市第四医院）经办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029-61199741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代理服务费收费标准：招标代理服务费的收取参见国家计委颁布的《招标代理服务收费管理暂行办法》（计价格[2002]1980号）和（发改办价格[2003]857号）收费标准中标金额计算下浮30%收取。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所有项目按照采购人指定地点，实施、调试完成，平稳运行三个月后组织验收，准备验收文件，并书面通知采购人。</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子病历质控系统建设项目，旨在构建覆盖病历“创建-书写-审核-归档-反馈”全生命周期的智能化质控体系。该体系将实现三大核心功能：一是诊疗环节实时智能干预，在病历书写、医嘱开具、检查检验申请等关键节点实时触发合规性提醒，从源头减少书写缺陷与诊疗隐患；二是缺陷管理闭环化运行，建立“智能识别-分级预警-定向整改-复查归档”全流程追踪机制，支持科室与医务人员实时查看缺陷明细、整改建议及历史整改记录，推动医疗质量问题可追溯、可量化、可改进；三是终末病历全维度质控，依托自然语言处理技术对病历内涵质量进行全量自动化核查，同步生成科室/医生质控评分、缺陷类型分布、趋势分析等多维度报表。该体系将有效规范临床诊疗行为，降低医疗风险，为我院高质量发展提供技术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电子病历质控系统建设项目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标的名称：电子病历质控系统建设项目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一、系统详细功能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1.医学知识库</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1.1疾病医学术语知识库 疾病医学术语知识库（包括疾病名、缩写、别名、ICD疾病代码、概述、流行病学、病因、发病机制、临床表现、并发症、检验、检查、诊断、鉴别诊断、治疗、预防、预后项目等），采用国家标准。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1.2症状内容知识库症状 内容知识库（包括症状名称、症状类别等）。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1.3药品信息知识库 药品信息知识库（包括药名、商品名、剂型、药理作用、适应证、禁忌证、注意事项、不良反应、用法用量、药物相互作用等）。</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1.4检验项目信息知识库 检验项目信息知识库（包括概述、采样方法、临床应用、参考区间、临床意义等）。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1.5检查项目信息知识库 检查项目信息知识库（包括检查项目概述、适应症、禁忌症、检查准备、方法、临床意义、注意事项等）。</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1.6手术和操作知识库 手术和操作知识库（包括概述、术前准备、麻醉方式、步骤、术中注意要点、术后处理、手术风险、手术并发症等），采用国家标准。</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2.服务监控平台</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2.1一键部署管理 通过前端界面对质控服务一键启停。</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2.2多层级数据权限管理 建立多层级数据权限管理体系，实现通过多层级账号和安全体系设置动态配置数据访问权限。</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2.3系统安全管理 建立系统安全体系，包含网络访问安全、系统安全、数据安全、管理安全体系。</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2.4敏感数据脱敏管理 建立敏感数据脱敏体系，根据HIPAA及国家相关要求进行敏感数据管理。</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2.5服务监控与告警管理 建立全链路服务监控平台，在部署时自动加载初始化数据库数据，可视化追踪产品后台服务、数据抽取服务、自然语言处理服务及知识库服务的运行日志，实时监控各环节服务状态；提供可视化界面展示运行日志、异常日志、异常告警；可视化展现系统不同版本信息，确保运维人员可快速识别版本差异。（需要提供真实的系统现场演示）</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3.核心制度质控管理</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3.1重点关注病历筛选与推荐 实现对死亡、手术、输血、会诊、高危、长期住院等病历自动筛选标记，并生成推荐列表。（需要提供真实的系统现场演示）</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3.2核心制度病历质控自动校验 实现对核心制度病历进行自动化校验，实时展示问题明细及扣分详情。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3.3多条件组合查询病历及结果导出 实现按质控结果、质控状态等条件组合查询、筛选核心制度病历；对筛选后的核心制度病历支持一键导出查询结果。</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4.病历整改管理</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4.1病历缺陷整改通知 支持质控人员发送病历缺陷整改通知，临床医生端实时提醒。</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4.2病历缺陷申诉与反馈 支持临床医生可针对整改通知提交申诉，质控端同步接收并标记申诉状态（如待处理/已驳回/已通过等）。</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4.3病历整改追踪 (1)支持根据病历文书状态（如待整改/已提交/已归档等）对患者列表进行分类展示，支持按状态标签快速筛选与定位。</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(2)质控人员可基于质控状态（如未处理/处理中/超时等）、患者入出院时间（如近7天出院）等多条件组合筛选整改任务，适配周期性重点质控需求。</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(3)质控人员可对自动化质控结果进行人工复核，确认问题后通过系统一键发送整改通知至临床科室。</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(4)质控人员可对临床科室提交的整改结果进行审批（如通过/驳回），若整改结果不符合要求，质控人员可填写驳回原因并重新下发至临床科室。</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(5)支持按科室、时间范围、质控状态导出整改任务清单。</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5.系统基础数据管理</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5.1角色、权限一键化管理 支持角色、权限数据的可视化配置与一键化操作：预置标准化角色字典（如质控员、科主任等），角色导入及自定义，信息新增与修改、跨系统角色映射对照；基于可视化权限树实现角色权限分配。</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6.质控工作管理</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6.1质控工作统计管理 支持实时统计质控人员任务完成情况、整改进程分布（如超时/未整改）及近期工作趋势（日/周/月等对比）。</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6.2质控任务跟踪与处理 支持质控人员查看待处理任务列表（如含质控任务、返修待确认、申诉信息等）。通过待处理任务列表一键跳转至整改管理界面，快速筛选（按状态/科室等）、接收及处理任务。</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6.3质控任务调度与分配 (1)支持医院质控管理人员通过前端界面按质控节点、角色灵活分配任务计划。</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(2)支持按日/周/月生成任务周期，自定义超时预警规则（如临近超时提醒阈值）与日历参数，支持批量调整参数并实时生效。</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6.4质控工作可视化统计 支持多维度可视化展示质控工作数据：按角色统计日/周/月工作量、整改进度分布及近期质控工作趋势；按科室查看整改返修情况；按质控人员追踪任务完成情况。</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7.评分项管理</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7.1质控评分表管理 系统内置符合国家病历质量标准的标准化质控评分表；同时支持医院导入个性化评分表模板。提供可视化配置界面，可灵活切换国家规范模板或自定义模板，灵活调整评分项（如书写时限、必填项、逻辑校验项等）、扣分规则（如分值区间、单项否决条件等）及权重分配，所有配置需实时生效且无需开发介入，确保评分标准既满足国家规范刚性要求，又能贴合医院实际管理需求与政策迭代。（需要提供真实的系统现场演示）</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7.2前端界面自定义配置质控规则评分表版本及甲乙丙级病历判定标准（如分数区间、单项否决规则等）。</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7.3前端界面对评分项灵活调整：包括文书最大扣分、单项最大扣分、是否逐项扣分、每项扣分分值等。</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7.4支持院内评分表与质控评分项的双向映射（如“诊断依据不足”映射至扣10分），支持映射关系校验与批量关联。</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7.5支持展示质控全部评分项内容，按质控节点（如“医生端书写、环节质控、终末质控”等）差异化配置评分项。</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7.6支持灵活配置全院或科室维度启停用评分项，按科室配置专科评分项。</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7.7支持自定义设置单项否决条件（如“缺手术记录直接判丙级”）、评分项属性（如，是否允许申诉、整改优先级等）；</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7.8支持根据我院实际需求对电子病历评分点进行本地化校验，按科室和时间范围（如入院日期段）灵活配置校验规则（如字段必填性、逻辑关联性），并通过可视化界面展示评分点启用状态（如全院通用、科室专属、已停用等）。</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7.9支持对于不适用评分项标注原因（如“门诊科室未启用输血评估规则，因门诊输血流程不强制要求”）。</w:t>
            </w:r>
          </w:p>
        </w:tc>
      </w:tr>
      <w:tr>
        <w:tc>
          <w:tcPr>
            <w:tcW w:type="dxa" w:w="2769"/>
          </w:tcPr>
          <w:p>
            <w:pPr>
              <w:pStyle w:val="null3"/>
            </w:pPr>
            <w:r>
              <w:rPr>
                <w:rFonts w:ascii="仿宋_GB2312" w:hAnsi="仿宋_GB2312" w:cs="仿宋_GB2312" w:eastAsia="仿宋_GB2312"/>
              </w:rPr>
              <w:t>46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7.10在无需重启服务的情况下，校验规则调整需实时生效。</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8.质控规则库管理</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8.1支持分维度建立多类型质控规则库（如：完整性、一致性、及时性、逻辑性等），并提供可视化规则管理界面，允许医院管理员查看、启用/停用、配置规则，禁止隐藏规则逻辑。</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9.全流程实时质控管理</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9.1住院病历质控 (1)支持临床住院医生端实时质控提醒功能：在医生书写入院记录、病程记录、手术记录等文书时，实时标记缺陷项（如必填项缺失、逻辑矛盾、病历文书超时等），并展示缺陷详情（扣分值、问题明细及整改建议）。</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(2)支持同步生成全院问题患者列表（如按死亡、手术、高危、长期住院等核心制度等标签分类）。</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(3)支持医生对住院质控缺陷进行在线反馈，选择预设原因选项（如“系统误判”，“临床特殊情况”等）并提交复核申请。</w:t>
            </w:r>
          </w:p>
        </w:tc>
      </w:tr>
      <w:tr>
        <w:tc>
          <w:tcPr>
            <w:tcW w:type="dxa" w:w="2769"/>
          </w:tcPr>
          <w:p>
            <w:pPr>
              <w:pStyle w:val="null3"/>
            </w:pPr>
            <w:r>
              <w:rPr>
                <w:rFonts w:ascii="仿宋_GB2312" w:hAnsi="仿宋_GB2312" w:cs="仿宋_GB2312" w:eastAsia="仿宋_GB2312"/>
              </w:rPr>
              <w:t>53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9.2门诊病历质控 (1)支持门诊医生端实时质控提醒功能：在医生书写门诊病历时，实时标记缺陷项（如现病史不完整、诊断依据不足等），并展示缺陷详情（扣分值、问题明细及整改建议）。（需要提供真实的系统现场演示）</w:t>
            </w:r>
          </w:p>
        </w:tc>
      </w:tr>
      <w:tr>
        <w:tc>
          <w:tcPr>
            <w:tcW w:type="dxa" w:w="2769"/>
          </w:tcPr>
          <w:p>
            <w:pPr>
              <w:pStyle w:val="null3"/>
            </w:pPr>
            <w:r>
              <w:rPr>
                <w:rFonts w:ascii="仿宋_GB2312" w:hAnsi="仿宋_GB2312" w:cs="仿宋_GB2312" w:eastAsia="仿宋_GB2312"/>
              </w:rPr>
              <w:t>54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(2)支持同步生成门诊问题患者列表。</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(3)支持医生对门诊质控缺陷进行在线反馈，选择预设原因选项（如“系统误判”，“患者依从性不足”等）并提交复核申请。</w:t>
            </w:r>
          </w:p>
        </w:tc>
      </w:tr>
      <w:tr>
        <w:tc>
          <w:tcPr>
            <w:tcW w:type="dxa" w:w="2769"/>
          </w:tcPr>
          <w:p>
            <w:pPr>
              <w:pStyle w:val="null3"/>
            </w:pPr>
            <w:r>
              <w:rPr>
                <w:rFonts w:ascii="仿宋_GB2312" w:hAnsi="仿宋_GB2312" w:cs="仿宋_GB2312" w:eastAsia="仿宋_GB2312"/>
              </w:rPr>
              <w:t>56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9.3急诊病历质控 (1)实现急诊医生端实时质控提醒功能：在医生书写急诊病历时，实时标记缺陷项（如抢救记录缺失、时间节点矛盾等），并展示缺陷详情（扣分值、问题明细及整改建议）。（需要提供真实的系统现场演示）</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(2)支持同步生成急诊问题患者列表。</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(3)支持医生对质控缺陷进行在线反馈，选择预设原因选项（如“设备故障”，“多人抢救未同步”等）并提交复核申请。</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10.环节质控管理</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10.1环节质控与任务推送 支持在院、出院待归档病历进行自动化实时质控，实时生成问题患者列表并推送至质控人员端。</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10.2环节质控多维度筛选与数据管理 支持按患者ID、入院日期、科室、医师、文书类型、问题分类（如完整性/逻辑性）、质控状态（未处理/已整改）等多条件组合筛选目标病历。支持将筛选结果一键导出。</w:t>
            </w:r>
          </w:p>
        </w:tc>
      </w:tr>
      <w:tr>
        <w:tc>
          <w:tcPr>
            <w:tcW w:type="dxa" w:w="2769"/>
          </w:tcPr>
          <w:p>
            <w:pPr>
              <w:pStyle w:val="null3"/>
            </w:pPr>
            <w:r>
              <w:rPr>
                <w:rFonts w:ascii="仿宋_GB2312" w:hAnsi="仿宋_GB2312" w:cs="仿宋_GB2312" w:eastAsia="仿宋_GB2312"/>
              </w:rPr>
              <w:t>62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10.3环节质控病历全景浏览与人工干预 (1)提供患者全景视图，集中展示病案首页、入院记录、病程记录、检查检验报告等全量文书。</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(2)支持环节质控阶段，质控人员手动添加文书问题、补充备注说明，质控管理人员可基于质控结果及人工协作备注调整评分，操作记录全量留痕。</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10.4环节质控质控详情与反馈闭环 (1)支持向质控人员提醒自动化质控结果（如缺陷分类、明细、扣分值等）。</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(2)支持对自动化质控结果疑问反馈（如“误判”“规则不适用”等），预设原因选项并生成反馈统计报告。</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11.终末质控管理</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11.1终末质控统计与展示 (1)支持实时统计全院终末质控病历总数、覆盖科室数，按出院日期范围动态筛选监控目标。</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(2)支持终末质控展示甲级、乙级、丙级病历数量及占比。</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(3)支持终末质控多维度统计分析。科室维度：统计各科室病历总数、病历问题数量、历问题数量排名、病历问题占比；文书维度：展示全院各文书问题数量及排名；医师维度：按医师统计总病历数、甲/乙/丙级病历数及问题文书数量。</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(4)支持查看终末质控问题病历明细，包含问题病历数量、病历缺陷内容（如“缺术后病程记录”）。</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11.2终末质控数据筛选与导出 (1)支持按患者ID、入院日期、科室、医师、文书类型、问题分类（如完整性/逻辑性等）、质控状态（如未处理/已整改等）等多条件组合筛选目标病历。支持筛选结果一键导出。</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(2)支持生成可视化报表，预置终末质控统计模板（如科室质量月报、医师绩效年报等），按需导出图表。</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11.3终末质控病历浏览与人工干预 (1)支持提供患者视图，集中展示病案首页、入院记录、病程记录、检查检验报告等全量文书。</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(2)支持终末质控阶段，质控人员手动添加文书问题、补充备注说明，质控管理人员可基于质控结果及人工协作备注调整评分，操作记录全量留痕。</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11.4终末质控自动化质控与反馈闭环 (1)支持对已归档终末病历进行自动化实时质控，生成问题患者列表并推送至质控端。向质控人员提醒自动化质控结果（如缺陷分类、明细、扣分值等）。</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(2)支持对终末质控自动化质控结果疑问反馈（如“误判”“规则不适用”等），预设原因选项并生成反馈统计报告。</w:t>
            </w:r>
          </w:p>
        </w:tc>
      </w:tr>
      <w:tr>
        <w:tc>
          <w:tcPr>
            <w:tcW w:type="dxa" w:w="2769"/>
          </w:tcPr>
          <w:p>
            <w:pPr>
              <w:pStyle w:val="null3"/>
            </w:pPr>
            <w:r>
              <w:rPr>
                <w:rFonts w:ascii="仿宋_GB2312" w:hAnsi="仿宋_GB2312" w:cs="仿宋_GB2312" w:eastAsia="仿宋_GB2312"/>
              </w:rPr>
              <w:t>77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12.构建AI质控核心引擎（含知识库） (1)基于AI大模型技术基座，实现病历基础质控（格式/术语规范）、诊疗逻辑自洽性分析（诊断-检查-用药一致性）、临床思维合理性评估（指南依从性）全流程AI覆盖。支持各类文书从环节质控到终末质控的全流程的过程质控。</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(2)缺陷智能识别体系 集成自然语言处理（NLP）算法模型，自动识别病历文书规范性、数据一致性、诊疗时序性、逻辑合理性等缺陷（如手术名称和病理报告结果不一致，如“手术记录中，手术名称为左肺上叶切除术，但病理报告标注取样部位为右肺上叶，术式与病理来源不符”）。</w:t>
            </w:r>
          </w:p>
        </w:tc>
      </w:tr>
      <w:tr>
        <w:tc>
          <w:tcPr>
            <w:tcW w:type="dxa" w:w="2769"/>
          </w:tcPr>
          <w:p>
            <w:pPr>
              <w:pStyle w:val="null3"/>
            </w:pPr>
            <w:r>
              <w:rPr>
                <w:rFonts w:ascii="仿宋_GB2312" w:hAnsi="仿宋_GB2312" w:cs="仿宋_GB2312" w:eastAsia="仿宋_GB2312"/>
              </w:rPr>
              <w:t>79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(3)缺陷解析及建议 在原有内涵质控引擎基础上搭建大模型的缺陷解析及建议功能，识别复杂逻辑缺陷，自动关联质控评分标准，生成缺陷解析及建议。（如：系统识别到“扁桃体切除术手术知情同意书未提及喉返神经损伤导致声嘶等专科特异性风险”，则生成缺陷解析及建议：“颈部手术(如扁桃体切除术)存在喉返神经损伤风险，可能导致声音嘶哑、吞咽困难，但知情同意书未提及”，建议在“术中损伤神经”条款中补充：“喉返神经损伤导致声音嘶哑、吞咽困难等”）。</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13.数据治理与系统对接</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13.1数据治理 (1)非结构化数据治理 基于自然语言处理技术，对自由文本病历、检查报告等非结构化数据实现分词、语义解析及后结构化处理；对不规范病历文书进行特征识别与规范化整理。</w:t>
            </w:r>
          </w:p>
        </w:tc>
      </w:tr>
      <w:tr>
        <w:tc>
          <w:tcPr>
            <w:tcW w:type="dxa" w:w="2769"/>
          </w:tcPr>
          <w:p>
            <w:pPr>
              <w:pStyle w:val="null3"/>
            </w:pPr>
            <w:r>
              <w:rPr>
                <w:rFonts w:ascii="仿宋_GB2312" w:hAnsi="仿宋_GB2312" w:cs="仿宋_GB2312" w:eastAsia="仿宋_GB2312"/>
              </w:rPr>
              <w:t>82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(2)规范性数据治理 建立清洗规则库，完成格式转换（如，日期统一为YYYY-MM-DD）、冗余数据过滤、缺失值填补（如性别字段空值填充“未注明”）；将非标准术语映射至权威编码体系；识别逻辑错误或异常值（如，检验结果“血糖30mmol/L”自动标记为异常，触发人工复核或关联临床记录判断合理性）。</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(3)数据抽取与融合 按需全量数据抽取与增量抽取，覆盖门诊、急诊、住院多场景；通过数据之间的关系按照门诊、急诊、住院等就诊数据融合。</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(4)全流程化透明监控 建立数据加工监控模块，实时展示数据抽取、清洗、融合、结构化处理日志，异常事件（如数据丢失、映射失败等）自动告警并生成处理报告；数据一致性核查（如医嘱与执行记录匹配校验）。</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13.2系统对接 (1)与HIS、EMR、LIS、PACS、集成平台、互联网医院、VTE等无缝对接，获取HIS医嘱、门诊病历、住院病历、LIS检验报告、PACS检查报告等临床数据；抽取员工信息、科室信息等基础数据。</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(2)实时对接业务系统API接口，实现医院内部各业务系统与质控系统之间的实时数据交互（如，医生在电子病历系统中保存病历时，系统通过API实时调用质控规则引擎，校验必填项缺失、诊断依据不足等问题，并立即提醒）。</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14.住院/门诊/急诊医生站流程改造</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(1)质控提醒采用“非干扰式与干扰式（流程节点强制拦截）双模交互策略”，根据缺陷等级与临床场景智能适配提醒方式。住院、门诊、急诊医生工作站基于临床实际业务场景，针对性改造关键流程节点（如病历提交、医嘱开立、手术申请等），通过嵌入质控系统接口返回值逻辑判断，实现质控规则与临床流程的深度绑定（如接口返回“严重缺陷”或“时效超限”等质控结果，系统自动触发节点拦截（如禁止提交病历、限制处方下达等））并推送整改指引，确保缺陷病历实时预警且关键节点闭环管控。相关系统改造费用由项目中标方承担。</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二、接口及数据要求</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1.供应商负责根据采购人需求与采购人及采购人信息化网络系统供应商完成系统双向对接。如产生第三方软件接口、硬件、人工及相关配件耗材等费用均包含在此项目合同总价款中，即过程中所产生的所有费用由供应商承担。 2.所有软件模块实施做接口时，需遵循医院数据标准通过集成平台进行接入，特殊情况无法通过集成平台的，需医院确认后方可单独做接口。</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1.系统部署环境 服务器资源均复用医院虚拟化服务器。要求明确提出项目服务器资源需求明细，系统安全复用医院现有网络及系统安全管理。</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2.项目实施要求</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(1)交付期：自合同签订之日起270个日历天内完成全部项目实施</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(2)交付地点：采购人指定地点。</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(3)维保期限：本项目所涉及的建设内容要求提供三年维保服务，自项目通过整体验收之日起计算，采购人对所采购的电子病历质控系统具有终身使用权。</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(4)培训要求：根据项目特点及医院的实际培训需求，为医院针对性制定一套科学、有效、可实施的培训方案，综合运用各种培训方式、方法，进行有效的培训组织和管理。为医院提供专项培训，确保相关系统管理人员、维护技术人员、操作使用人员对系统有较为全面的了解和认识，并能正常使用系统所提供的应用功能。确保管理人员及技术人员能独立进行管理、运维、简单故障处理等日常工作，从而保证系统能正常运行。</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(5)验收要求：系统上线并稳定运行3个月后，由供应商提出验收申请，采购人组织项目验收会议进行验收。验收文档包含用户调查与需求分析报告、项目实施计划、项目实施过程文档、功能规格说明书、用户使用报告、系统维护手册、用户操作手册、培训资料、系统功能验证报告等。</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(6)信息安全要求： 符合信息化安全等保2.0的三级等保测评要求，无条件配合医院完成等保测评及整改。 系统登录的用户身份鉴别技术需要采用用户名/密码认证、CA认证、基于角色的访问控制和单点登录认证，防止非法访问和恶意攻击，确保数组身份操作者是合法拥有者。 系统需有密码强度检测，密码复杂度检测，密码有效期等安全策略，保障系统用户的密码安全。 系统要保证数据在传输、存储、处理等过程中不被未经授权的修改、删除或损坏，确保信息不暴露给未授权的实体或进程。需要采用数据加密和解密技术，如SSL/TLS协议，使用加密和身份验证机制来确保数据的安全和完整性。</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(7)实施服务要求：项目实施符合信息化项目管理要求，具有范围管理、进度管理、质量管理、风险管理等方面；根据医院需求与相关业务系统集成对接，本方及第三方对接产生的接口费用由投标方承担。组建不少于5人的客户服务团队。</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(8)运维服务要求：项目建成后，需提供完善的运营与维护服务体系。负责日常热线问题的解答与解决、软硬件定期的巡检与更新以及突发事件的实现与处理。设立统一的客户服务专线，专业团队进行管理。针对系统维护报修、用户使用问题提供每周7*24小时的客户服务。针对故障发生情况，建立完善的报修和维修响应机制。应定期进行维护和升级，使产品安全、正常地运行。提供≥1人驻场服务人员。</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(9)数据备份和恢复：应建立相应的制度数据备份和恢复流程并部署相关的安全措施。技术工具方面，应建立数据备份与恢复的统一技术工具，保证相关工作的自动执行，并定期采取技术措施查验备份和归档数据的完整性和可用性；定期对系统所涉及服务器进行巡查监测，定期分析系统和数据库日志，升级中间件和系统监测到的漏洞补丁，进行数据库备份和系统应急事件处理，配合院方完成应急演练。运行一段时间后，需要调整数据库性能，定期做好数据备份，及时做好数据整理，即使服务器有故障，也能很快恢复数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自合同签订之日起270个日历日内完成全部项目实施、确保软件能够正常使用并交付采购人，不得延期。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合同签订后，所有项目按照采购人指定地点，实施、调试完成，平稳运行三个月后组织验收。验收合格后，自供应商前往采购人办理资金结算之日起，10个工作日内支付合同总金额的90%（实际以合同签订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自验收合格之日起满三年，经最终验收合格，自供应商前往采购人办理资金结算之日起，10个工作日内支付合同总金额的10%（实际以合同签订为准）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1、所有项目按照采购人标书和供应商投标文件中的要求实施、调试完成，平稳运行三个月后，确认项目完成，供应商进行自检，自检合格后，准备验收文件，并书面通知采购人。 2、采购人确认供应商的自检内容后，组织供应商（必要时请有关专家）进行项目验收。符合本合同约定的，采购人应当验收。对于不符合合同规定的内容，采购人可以拒绝验收。 3、整体验收：项目整体实施结束，合同所有内容采购人初验合格后，提请西安市卫健委组织专家进行项目整体验收，卫健委验收合格后，填写政府采购项目履约验收单（一式五份）作为对项目的整体认可。 4、供应商向采购人提交项目实施过程中的所有资料，以便采购人日后管理和维护。 5、最终验收：以验收合格日期算起，质保期结束后，由供应商提出书面验收申请，经验收，无质量及技术服务问题填写验收单作为对项目的最终认可。 6、验收依据 ①招标文件、投标文件、澄清表（函）； ②本合同及附件文本； ③国家相应的标准、规范； ④其他资料；（如用户调查与需求分析报告、项目实施计划、项目实施过程文档、功能规格说明书、用户使用报告、系统维护手册、用户操作手册、培训资料、系统功能验证报告等）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(1)从验收合格之日算起，提供叁年维护、需求更改、流程调优、升级及上门服务。 (2)服务期内，提供每周7天/每天24小时不间断的电话支持服务，解答用户在使用、维护过程中遇到的问题，及时提出解决问题的建议和操作方法。正式运行之后，服务响应时间不超过2小时，对问题较大短期内暂不能解决的，为不影响采购人正常工作，供应商在2日内免费提供替代产品，确保正常运行，由此产生的费用由供应商承担。 (3)服务期内每季度巡检一次，提供巡检单。一式两份，采购人一份，供应商一份，并由双方签字确认。内容包括巡检时间、巡检内容、巡检结果。 (4)服务期内每次故障维修提供维修单。一式两份，采购人一份，供应商一份，并由双方签字确认。内容包括得知故障时间、到达现场时间、故障处理结束时间、故障内容、故障处理方式方法，故障处理结果，并由双方签字确认。 (5)凭借巡检单、维修单、培训确认单，作为付款依据。如果依据不全，采购人可以拒付剩余款项。 (6)服务期内如出现任何安全类问题，中标方及时协助解决。 (7)操作人员的技术培训时间不得少于一周，提供培训计划。</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质量不能满足合同技术要求的，采购人会同政府采购机构有权解除本合同（合同自书面解除通知到达供应商之日起解除），供应商应赔偿解除合同给采购人造成的全部损失（包括但不限于重新采购产生的费用、合同未履行导致产品不能按规划交付使用及其它由此造成的采购人对第三方的违约损失），并按照合同总价的30%支付违约金。同时采购人有权按《招投标法》、《政府采购法》有关处罚条款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一、中标供应商在领取中标通知书时提供3套纸质投标文件（1正2副），纸质版投标文件应与线上电子投标文件保持一致并加盖公章。 二、采购标的的功能和质量要求 源头质控，实时纠错。医生书写病历时自动运行智能规则库，实时检测诊断依据不充分、逻辑矛盾等内涵问题，实现100%病历保存即质控，确保问题病历在源头修正，降低病历缺陷率。 科室-院级全量质控覆盖。科室层级，对未出科病历进行全量实时二次质控，自动生成问题清单及返修表，覆盖所有在院及出院未归档病历；院级层级，基于专科/专病质控规则库，实现出院病历100%全量自动质控，精准识别各专科核心问题（如手术记录一致性、用药禁忌）。 质量可视化与决策支撑。实时展示全院在院、出院、归档病历的质控数据（甲/乙/丙级占比、科室缺陷排名、医生问题分布），多维度统计图表展示与导出，提供缺陷根因分析（如高频问题病种、整改周期），为医疗质量管理制度优化提供数据依据。 智控病历、筑基评级。通过智能化病历内涵质控的建设，提升我院总体信息化发展水平，在互联互通标准化成熟度测评、电子病历评级等评审体系中获得高等级评价打下坚实基础。 保证技术指标先进、质量性能可靠、进货渠道正常、功能齐全、配置合理，全面满足技术要求。 三、质保期满后，供应商应保证提供维护服务的价格每年不高于合同总价款的8%，发生事故时，供应商应按质保期内同样的标准进行维护处理。 四、进入相关部门“黑名单”的投标人以及有行贿、串标等违法违规行为并经查实的投标人不能参与本院采购项目的投标活动。对“黑名单”中投标人采取“一票否决”及“随时叫停”机制，在报名、资格审核、评审、公示、合同签订等各环节一旦发现并查实有行贿等违法违规行为的，立即取消其相关资格且终止合同签订。 五、根据西安市财政局《关于促进政府采购公平竞争优化营商环境的通知》（市财函[2021]431号）文中“第16条规定 投标人登记免费领取采购文件的，如不参与项目投标，应在递交投标（或相应）文件截止时间前一日以书面形式告知采购代理机构。否则，采购代理机构可以向财政部门反映情况并提供相应的佐证。投标人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2、具有良好的商业信誉和健全的财务会计制度（提供2024年度财务审计报告或响应文件递交截止时间前近6个月内的银行资信证明或财政部门认可的政府采购专业担保机构出具的投标担保函）； 3、具有依法缴纳税收和社会保障资金的良好记录（同时提供投标文件递交截止时间前12个月内缴存的任意时段的社保及税收缴纳证明；依法不需要缴纳的应提供相关证明文件)； 4、具有履行合同所必需的设备和专业技术能力； 5、参加采购活动前三年内在经营活动中没有重大违法纪录，以及未被列入失信被执行人、重大税收违法案件当事人名单、政府采购严重违法失信行为记录名单的书面声明；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本项目不接受联合体参加</w:t>
            </w:r>
          </w:p>
        </w:tc>
        <w:tc>
          <w:tcPr>
            <w:tcW w:type="dxa" w:w="3322"/>
          </w:tcPr>
          <w:p>
            <w:pPr>
              <w:pStyle w:val="null3"/>
            </w:pPr>
            <w:r>
              <w:rPr>
                <w:rFonts w:ascii="仿宋_GB2312" w:hAnsi="仿宋_GB2312" w:cs="仿宋_GB2312" w:eastAsia="仿宋_GB2312"/>
              </w:rPr>
              <w:t>本项目不接受联合体参加；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合同条款偏离表.docx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投标报价未超出最高限价</w:t>
            </w:r>
          </w:p>
        </w:tc>
        <w:tc>
          <w:tcPr>
            <w:tcW w:type="dxa" w:w="1661"/>
          </w:tcPr>
          <w:p>
            <w:pPr>
              <w:pStyle w:val="null3"/>
            </w:pPr>
            <w:r>
              <w:rPr>
                <w:rFonts w:ascii="仿宋_GB2312" w:hAnsi="仿宋_GB2312" w:cs="仿宋_GB2312" w:eastAsia="仿宋_GB2312"/>
              </w:rPr>
              <w:t>开标一览表 报价一览表及分项报价表.docx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投标文件签字盖章合格</w:t>
            </w:r>
          </w:p>
        </w:tc>
        <w:tc>
          <w:tcPr>
            <w:tcW w:type="dxa" w:w="1661"/>
          </w:tcPr>
          <w:p>
            <w:pPr>
              <w:pStyle w:val="null3"/>
            </w:pPr>
            <w:r>
              <w:rPr>
                <w:rFonts w:ascii="仿宋_GB2312" w:hAnsi="仿宋_GB2312" w:cs="仿宋_GB2312" w:eastAsia="仿宋_GB2312"/>
              </w:rPr>
              <w:t>报价一览表及分项报价表.docx 投标函 商务偏离表.docx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供应商是否按要求提供“参加政府采购活动行为自律承诺书”、“陕西省政府采购供货商拒绝政府采购领域商业贿赂承诺书”、“供应商参加政府采购活动承诺书”</w:t>
            </w:r>
          </w:p>
        </w:tc>
        <w:tc>
          <w:tcPr>
            <w:tcW w:type="dxa" w:w="1661"/>
          </w:tcPr>
          <w:p>
            <w:pPr>
              <w:pStyle w:val="null3"/>
            </w:pPr>
            <w:r>
              <w:rPr>
                <w:rFonts w:ascii="仿宋_GB2312" w:hAnsi="仿宋_GB2312" w:cs="仿宋_GB2312" w:eastAsia="仿宋_GB2312"/>
              </w:rPr>
              <w:t>参加政府采购活动行为自律承诺书（一）.docx 陕西省政府采购供货商拒绝政府采购领域商业贿赂承诺书.docx 参加政府采购活动行为自律承诺书（二）.docx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符合使用需求，配置技术功能完整合理，其型号、技术参数清晰明确，根据投标产品的技术指标和性能对招标文件的响应程度计分。其响应技术指标和性能完全满足招标文件要求计30分。▲参数必须提供相关证明材料（包括但不限于官网截图或产品彩页或检测报告或加盖厂商公章的技术参数说明或系统演示），▲参数每负偏离一项扣1分，无标识参数为一般参数，按要求逐条响应，不满足一项扣0.5分，扣完本项分值为止。（需要演示的▲参数应按照技术参数与性能指标要求提供真实的系统演示（使用腾讯会议远程视频演示，开标当天代理机构统一提供会议号码），演示时间不得超过10分钟。不满足采购要求或未演示为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投标方案</w:t>
            </w:r>
          </w:p>
        </w:tc>
        <w:tc>
          <w:tcPr>
            <w:tcW w:type="dxa" w:w="2492"/>
          </w:tcPr>
          <w:p>
            <w:pPr>
              <w:pStyle w:val="null3"/>
            </w:pPr>
            <w:r>
              <w:rPr>
                <w:rFonts w:ascii="仿宋_GB2312" w:hAnsi="仿宋_GB2312" w:cs="仿宋_GB2312" w:eastAsia="仿宋_GB2312"/>
              </w:rPr>
              <w:t>投标方案的完善程度及投标产品的实际使用普及程度，配置功能完整程度，运行稳定状况；有范围管理、进度管理、风险管理、信息安全、数据备份和恢复等方面内容。 1.投标方案描述详细，各部分功能配置完整，满足或优于招标文件要求。能够实现项目建设目标，各个系统配置合理，实用、先进，满足今后扩展性的要求得10分； 2.投标方案描述完整，各部分功能配置基本满足招标文件要求，能够基本实现项目建设目标得7分； 3.投标方案部分描述，功能配置部分满足招标文件要求，能够基本实现项目建设目标得4分； 4.投标方案描述简单，功能配置满足招标文件要求较为困难得1分； 5.供应商未提供相关内容得0分。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投标产品货源渠道正常（包括但不限于销售协议、代理协议、原厂授权等），符合国家的标准和有关规定，有完备可靠的质量保证措施，经过有关部门检测。能保证使用单位正常使用和维护。提供详细、具体、丰富的资料证明文件得5分； 2.投标产品货源渠道正常（包括但不限于销售协议、代理协议、原厂授权等），符合国家的标准和有关规定，有质量保证措施，经过有关部门检测。能保证使用单位正常使用和维护。提供部分资料证明文件得3分； 3.投标产品货源渠道正常（包括但不限于销售协议、代理协议、原厂授权等），符合国家的标准和有关规定。基本能保证使用单位正常使用和维护。提供部分资料证明文件得1分； 4.供应商未提供相关内容得0分。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实施服务团队</w:t>
            </w:r>
          </w:p>
        </w:tc>
        <w:tc>
          <w:tcPr>
            <w:tcW w:type="dxa" w:w="2492"/>
          </w:tcPr>
          <w:p>
            <w:pPr>
              <w:pStyle w:val="null3"/>
            </w:pPr>
            <w:r>
              <w:rPr>
                <w:rFonts w:ascii="仿宋_GB2312" w:hAnsi="仿宋_GB2312" w:cs="仿宋_GB2312" w:eastAsia="仿宋_GB2312"/>
              </w:rPr>
              <w:t>根据项目需求组建不少于5人的客户服务团队，提供人员配置、岗位职责，工作经验、从业时间等，至少提供个人简历及学历证。 1.供应商提供详细的人员配备方案，人员分工合理、数量充足，人员经验丰富、完全满足采购需求，相关证明资料齐全等，得5分； 2.供应商提供人员配备方案合理，人员分工基本合理，相关人员有一定经验、数量较充足。能提供部分证明资料，得3分； 3.供应商提供人员配备方案较单薄，得1分； 4.供应商未提供相关内容得0分。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技术培训</w:t>
            </w:r>
          </w:p>
        </w:tc>
        <w:tc>
          <w:tcPr>
            <w:tcW w:type="dxa" w:w="2492"/>
          </w:tcPr>
          <w:p>
            <w:pPr>
              <w:pStyle w:val="null3"/>
            </w:pPr>
            <w:r>
              <w:rPr>
                <w:rFonts w:ascii="仿宋_GB2312" w:hAnsi="仿宋_GB2312" w:cs="仿宋_GB2312" w:eastAsia="仿宋_GB2312"/>
              </w:rPr>
              <w:t>1.供应商提供详细的技术培训方案，包括现场培训及培训人员的配备等，完全满足招标文件要求并能提供更多的培训内容等得5分； 2.供应商提供的技术培训、现场培训方案较详细，基本能满足用户需求得3分； 3.供应商提供的技术支持培训方案简单，能够满足用户需求得1分； 4.供应商未提供相关内容得0分。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1.售后服务条款具体、可行，有详细的售后服务措施承诺；在产品发生故障后的补救措施等方面，有详细的服务承诺和实施方案；明确质保期限和保修方式等有承诺得5分； 2.售后服务条款可行，有完整的售后服务措施承诺；在产品发生故障后的补救措施等方面，有明确的服务承诺和实施方案得3分； 3.售后服务条款可行，售后服务措施简单得1分； 4.供应商未提供相关内容得0分。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提供供应商2022年9月1日至今同类（电子病历质控系统）项目业绩。每提供1份得2分，最高得10分。（以合同签订日期为准） 备注：业绩证明材料须包含合同关键页（至少包括合同双方、标的、金额、签字盖章页、签订时间），并须同时提供以下任意一项佐证材料：1、与合同对应的发票复印件；2、项目验收报告或用户出具的履约完成证明文件。 上述材料应能相互印证，未提供完整佐证材料的业绩将不予认定。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详见附件：人员、方案.docx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