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2DE60">
      <w:pPr>
        <w:pStyle w:val="2"/>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5667F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注：本合同为示范文本，具体条款内容由甲方和乙方协商确定，但不得改变招标文件、投标文件、中标通知书里的实质性内容。）</w:t>
      </w:r>
    </w:p>
    <w:p w14:paraId="5CC9745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14:paraId="4FD5CB5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14:paraId="40F11BA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14:paraId="7CD05C93">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3EE1A68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14:paraId="636926A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14:paraId="351C431C">
      <w:pPr>
        <w:pStyle w:val="14"/>
        <w:spacing w:line="360" w:lineRule="auto"/>
        <w:ind w:left="0" w:leftChars="0" w:firstLine="0" w:firstLineChars="0"/>
        <w:outlineLvl w:val="1"/>
        <w:rPr>
          <w:rFonts w:hint="eastAsia" w:ascii="仿宋" w:hAnsi="仿宋" w:eastAsia="仿宋" w:cs="仿宋"/>
          <w:b/>
          <w:color w:val="auto"/>
          <w:highlight w:val="none"/>
        </w:rPr>
      </w:pPr>
      <w:bookmarkStart w:id="0" w:name="_Toc18934"/>
      <w:bookmarkStart w:id="1" w:name="_Toc8686"/>
      <w:bookmarkStart w:id="2" w:name="_Toc3373"/>
      <w:r>
        <w:rPr>
          <w:rFonts w:hint="eastAsia" w:ascii="仿宋" w:hAnsi="仿宋" w:eastAsia="仿宋" w:cs="仿宋"/>
          <w:b/>
          <w:color w:val="auto"/>
          <w:highlight w:val="none"/>
        </w:rPr>
        <w:t>第一条 合同标的及数量</w:t>
      </w:r>
      <w:bookmarkEnd w:id="0"/>
      <w:bookmarkEnd w:id="1"/>
      <w:bookmarkEnd w:id="2"/>
    </w:p>
    <w:p w14:paraId="3F7708DD">
      <w:pPr>
        <w:pStyle w:val="14"/>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14:paraId="55DC5C83">
      <w:pPr>
        <w:pStyle w:val="4"/>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2"/>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14:paraId="5B02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1EBB9869">
            <w:pPr>
              <w:outlineLvl w:val="9"/>
              <w:rPr>
                <w:rFonts w:hint="eastAsia" w:ascii="仿宋" w:hAnsi="仿宋" w:eastAsia="仿宋" w:cs="仿宋"/>
                <w:color w:val="auto"/>
                <w:sz w:val="24"/>
                <w:szCs w:val="24"/>
                <w:highlight w:val="none"/>
              </w:rPr>
            </w:pPr>
            <w:bookmarkStart w:id="3" w:name="_Toc21343"/>
            <w:bookmarkStart w:id="4" w:name="_Toc7471"/>
            <w:bookmarkStart w:id="5" w:name="_Toc1631"/>
            <w:bookmarkStart w:id="6" w:name="_Toc31400"/>
            <w:bookmarkStart w:id="7" w:name="_Toc26294"/>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14:paraId="2E87C7AF">
            <w:pPr>
              <w:jc w:val="center"/>
              <w:outlineLvl w:val="9"/>
              <w:rPr>
                <w:rFonts w:hint="eastAsia" w:ascii="仿宋" w:hAnsi="仿宋" w:eastAsia="仿宋" w:cs="仿宋"/>
                <w:color w:val="auto"/>
                <w:sz w:val="24"/>
                <w:szCs w:val="24"/>
                <w:highlight w:val="none"/>
              </w:rPr>
            </w:pPr>
            <w:bookmarkStart w:id="8" w:name="_Toc23183"/>
            <w:bookmarkStart w:id="9" w:name="_Toc678"/>
            <w:bookmarkStart w:id="10" w:name="_Toc6445"/>
            <w:bookmarkStart w:id="11" w:name="_Toc22389"/>
            <w:bookmarkStart w:id="12" w:name="_Toc3968"/>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14:paraId="0C77C6E5">
            <w:pPr>
              <w:outlineLvl w:val="9"/>
              <w:rPr>
                <w:rFonts w:hint="eastAsia" w:ascii="仿宋" w:hAnsi="仿宋" w:eastAsia="仿宋" w:cs="仿宋"/>
                <w:color w:val="auto"/>
                <w:sz w:val="24"/>
                <w:szCs w:val="24"/>
                <w:highlight w:val="none"/>
              </w:rPr>
            </w:pPr>
            <w:bookmarkStart w:id="13" w:name="_Toc6213"/>
            <w:bookmarkStart w:id="14" w:name="_Toc16370"/>
            <w:bookmarkStart w:id="15" w:name="_Toc31540"/>
            <w:bookmarkStart w:id="16" w:name="_Toc5820"/>
            <w:bookmarkStart w:id="17" w:name="_Toc13493"/>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14:paraId="2F3B4642">
            <w:pPr>
              <w:outlineLvl w:val="9"/>
              <w:rPr>
                <w:rFonts w:hint="eastAsia" w:ascii="仿宋" w:hAnsi="仿宋" w:eastAsia="仿宋" w:cs="仿宋"/>
                <w:color w:val="auto"/>
                <w:sz w:val="24"/>
                <w:szCs w:val="24"/>
                <w:highlight w:val="none"/>
              </w:rPr>
            </w:pPr>
            <w:bookmarkStart w:id="18" w:name="_Toc5177"/>
            <w:bookmarkStart w:id="19" w:name="_Toc21205"/>
            <w:bookmarkStart w:id="20" w:name="_Toc3931"/>
            <w:bookmarkStart w:id="21" w:name="_Toc15931"/>
            <w:bookmarkStart w:id="22" w:name="_Toc3362"/>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14:paraId="4887C799">
            <w:pPr>
              <w:outlineLvl w:val="9"/>
              <w:rPr>
                <w:rFonts w:hint="eastAsia" w:ascii="仿宋" w:hAnsi="仿宋" w:eastAsia="仿宋" w:cs="仿宋"/>
                <w:color w:val="auto"/>
                <w:sz w:val="24"/>
                <w:szCs w:val="24"/>
                <w:highlight w:val="none"/>
              </w:rPr>
            </w:pPr>
            <w:bookmarkStart w:id="23" w:name="_Toc8364"/>
            <w:bookmarkStart w:id="24" w:name="_Toc13801"/>
            <w:bookmarkStart w:id="25" w:name="_Toc18669"/>
            <w:bookmarkStart w:id="26" w:name="_Toc16004"/>
            <w:bookmarkStart w:id="27" w:name="_Toc30791"/>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14:paraId="2939E969">
            <w:pPr>
              <w:outlineLvl w:val="9"/>
              <w:rPr>
                <w:rFonts w:hint="eastAsia" w:ascii="仿宋" w:hAnsi="仿宋" w:eastAsia="仿宋" w:cs="仿宋"/>
                <w:color w:val="auto"/>
                <w:sz w:val="24"/>
                <w:szCs w:val="24"/>
                <w:highlight w:val="none"/>
              </w:rPr>
            </w:pPr>
            <w:bookmarkStart w:id="28" w:name="_Toc9231"/>
            <w:bookmarkStart w:id="29" w:name="_Toc609"/>
            <w:bookmarkStart w:id="30" w:name="_Toc29871"/>
            <w:bookmarkStart w:id="31" w:name="_Toc24569"/>
            <w:bookmarkStart w:id="32" w:name="_Toc19134"/>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14:paraId="7B4430C7">
            <w:pPr>
              <w:outlineLvl w:val="9"/>
              <w:rPr>
                <w:rFonts w:hint="eastAsia" w:ascii="仿宋" w:hAnsi="仿宋" w:eastAsia="仿宋" w:cs="仿宋"/>
                <w:color w:val="auto"/>
                <w:sz w:val="24"/>
                <w:szCs w:val="24"/>
                <w:highlight w:val="none"/>
              </w:rPr>
            </w:pPr>
            <w:bookmarkStart w:id="33" w:name="_Toc22269"/>
            <w:bookmarkStart w:id="34" w:name="_Toc1373"/>
            <w:bookmarkStart w:id="35" w:name="_Toc5020"/>
            <w:bookmarkStart w:id="36" w:name="_Toc23932"/>
            <w:bookmarkStart w:id="37" w:name="_Toc29589"/>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14:paraId="476F54AA">
            <w:pPr>
              <w:ind w:left="236" w:hanging="235" w:hangingChars="98"/>
              <w:outlineLvl w:val="9"/>
              <w:rPr>
                <w:rFonts w:hint="eastAsia" w:ascii="仿宋" w:hAnsi="仿宋" w:eastAsia="仿宋" w:cs="仿宋"/>
                <w:color w:val="auto"/>
                <w:sz w:val="24"/>
                <w:szCs w:val="24"/>
                <w:highlight w:val="none"/>
              </w:rPr>
            </w:pPr>
            <w:bookmarkStart w:id="38" w:name="_Toc32579"/>
            <w:bookmarkStart w:id="39" w:name="_Toc26062"/>
            <w:bookmarkStart w:id="40" w:name="_Toc14510"/>
            <w:bookmarkStart w:id="41" w:name="_Toc23619"/>
            <w:bookmarkStart w:id="42" w:name="_Toc17545"/>
            <w:r>
              <w:rPr>
                <w:rFonts w:hint="eastAsia" w:ascii="仿宋" w:hAnsi="仿宋" w:eastAsia="仿宋" w:cs="仿宋"/>
                <w:color w:val="auto"/>
                <w:sz w:val="24"/>
                <w:szCs w:val="24"/>
                <w:highlight w:val="none"/>
              </w:rPr>
              <w:t>金额 (元)</w:t>
            </w:r>
            <w:bookmarkEnd w:id="38"/>
            <w:bookmarkEnd w:id="39"/>
            <w:bookmarkEnd w:id="40"/>
            <w:bookmarkEnd w:id="41"/>
            <w:bookmarkEnd w:id="42"/>
          </w:p>
        </w:tc>
      </w:tr>
      <w:tr w14:paraId="3ACD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0482D90">
            <w:pPr>
              <w:outlineLvl w:val="9"/>
              <w:rPr>
                <w:rFonts w:hint="eastAsia" w:ascii="仿宋" w:hAnsi="仿宋" w:eastAsia="仿宋" w:cs="仿宋"/>
                <w:color w:val="auto"/>
                <w:sz w:val="24"/>
                <w:szCs w:val="24"/>
                <w:highlight w:val="none"/>
              </w:rPr>
            </w:pPr>
          </w:p>
        </w:tc>
        <w:tc>
          <w:tcPr>
            <w:tcW w:w="1461" w:type="dxa"/>
          </w:tcPr>
          <w:p w14:paraId="6167CAF5">
            <w:pPr>
              <w:outlineLvl w:val="9"/>
              <w:rPr>
                <w:rFonts w:hint="eastAsia" w:ascii="仿宋" w:hAnsi="仿宋" w:eastAsia="仿宋" w:cs="仿宋"/>
                <w:color w:val="auto"/>
                <w:sz w:val="24"/>
                <w:szCs w:val="24"/>
                <w:highlight w:val="none"/>
              </w:rPr>
            </w:pPr>
          </w:p>
        </w:tc>
        <w:tc>
          <w:tcPr>
            <w:tcW w:w="1623" w:type="dxa"/>
          </w:tcPr>
          <w:p w14:paraId="3059FE42">
            <w:pPr>
              <w:outlineLvl w:val="9"/>
              <w:rPr>
                <w:rFonts w:hint="eastAsia" w:ascii="仿宋" w:hAnsi="仿宋" w:eastAsia="仿宋" w:cs="仿宋"/>
                <w:color w:val="auto"/>
                <w:sz w:val="24"/>
                <w:szCs w:val="24"/>
                <w:highlight w:val="none"/>
              </w:rPr>
            </w:pPr>
          </w:p>
        </w:tc>
        <w:tc>
          <w:tcPr>
            <w:tcW w:w="832" w:type="dxa"/>
          </w:tcPr>
          <w:p w14:paraId="30850A95">
            <w:pPr>
              <w:outlineLvl w:val="9"/>
              <w:rPr>
                <w:rFonts w:hint="eastAsia" w:ascii="仿宋" w:hAnsi="仿宋" w:eastAsia="仿宋" w:cs="仿宋"/>
                <w:color w:val="auto"/>
                <w:sz w:val="24"/>
                <w:szCs w:val="24"/>
                <w:highlight w:val="none"/>
              </w:rPr>
            </w:pPr>
          </w:p>
        </w:tc>
        <w:tc>
          <w:tcPr>
            <w:tcW w:w="822" w:type="dxa"/>
          </w:tcPr>
          <w:p w14:paraId="48CF1B2F">
            <w:pPr>
              <w:outlineLvl w:val="9"/>
              <w:rPr>
                <w:rFonts w:hint="eastAsia" w:ascii="仿宋" w:hAnsi="仿宋" w:eastAsia="仿宋" w:cs="仿宋"/>
                <w:color w:val="auto"/>
                <w:sz w:val="24"/>
                <w:szCs w:val="24"/>
                <w:highlight w:val="none"/>
              </w:rPr>
            </w:pPr>
          </w:p>
        </w:tc>
        <w:tc>
          <w:tcPr>
            <w:tcW w:w="514" w:type="dxa"/>
          </w:tcPr>
          <w:p w14:paraId="023D1071">
            <w:pPr>
              <w:outlineLvl w:val="9"/>
              <w:rPr>
                <w:rFonts w:hint="eastAsia" w:ascii="仿宋" w:hAnsi="仿宋" w:eastAsia="仿宋" w:cs="仿宋"/>
                <w:color w:val="auto"/>
                <w:sz w:val="24"/>
                <w:szCs w:val="24"/>
                <w:highlight w:val="none"/>
              </w:rPr>
            </w:pPr>
          </w:p>
        </w:tc>
        <w:tc>
          <w:tcPr>
            <w:tcW w:w="1377" w:type="dxa"/>
          </w:tcPr>
          <w:p w14:paraId="13E9BCE3">
            <w:pPr>
              <w:outlineLvl w:val="9"/>
              <w:rPr>
                <w:rFonts w:hint="eastAsia" w:ascii="仿宋" w:hAnsi="仿宋" w:eastAsia="仿宋" w:cs="仿宋"/>
                <w:color w:val="auto"/>
                <w:sz w:val="24"/>
                <w:szCs w:val="24"/>
                <w:highlight w:val="none"/>
              </w:rPr>
            </w:pPr>
          </w:p>
        </w:tc>
        <w:tc>
          <w:tcPr>
            <w:tcW w:w="1386" w:type="dxa"/>
          </w:tcPr>
          <w:p w14:paraId="33062DB7">
            <w:pPr>
              <w:outlineLvl w:val="9"/>
              <w:rPr>
                <w:rFonts w:hint="eastAsia" w:ascii="仿宋" w:hAnsi="仿宋" w:eastAsia="仿宋" w:cs="仿宋"/>
                <w:color w:val="auto"/>
                <w:sz w:val="24"/>
                <w:szCs w:val="24"/>
                <w:highlight w:val="none"/>
              </w:rPr>
            </w:pPr>
          </w:p>
        </w:tc>
      </w:tr>
      <w:tr w14:paraId="09F5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7E0DAE41">
            <w:pPr>
              <w:outlineLvl w:val="9"/>
              <w:rPr>
                <w:rFonts w:hint="eastAsia" w:ascii="仿宋" w:hAnsi="仿宋" w:eastAsia="仿宋" w:cs="仿宋"/>
                <w:color w:val="auto"/>
                <w:sz w:val="24"/>
                <w:szCs w:val="24"/>
                <w:highlight w:val="none"/>
              </w:rPr>
            </w:pPr>
          </w:p>
        </w:tc>
        <w:tc>
          <w:tcPr>
            <w:tcW w:w="1461" w:type="dxa"/>
          </w:tcPr>
          <w:p w14:paraId="42E5A5CE">
            <w:pPr>
              <w:outlineLvl w:val="9"/>
              <w:rPr>
                <w:rFonts w:hint="eastAsia" w:ascii="仿宋" w:hAnsi="仿宋" w:eastAsia="仿宋" w:cs="仿宋"/>
                <w:color w:val="auto"/>
                <w:sz w:val="24"/>
                <w:szCs w:val="24"/>
                <w:highlight w:val="none"/>
              </w:rPr>
            </w:pPr>
          </w:p>
        </w:tc>
        <w:tc>
          <w:tcPr>
            <w:tcW w:w="1623" w:type="dxa"/>
          </w:tcPr>
          <w:p w14:paraId="3BCCE6DE">
            <w:pPr>
              <w:outlineLvl w:val="9"/>
              <w:rPr>
                <w:rFonts w:hint="eastAsia" w:ascii="仿宋" w:hAnsi="仿宋" w:eastAsia="仿宋" w:cs="仿宋"/>
                <w:color w:val="auto"/>
                <w:sz w:val="24"/>
                <w:szCs w:val="24"/>
                <w:highlight w:val="none"/>
              </w:rPr>
            </w:pPr>
          </w:p>
        </w:tc>
        <w:tc>
          <w:tcPr>
            <w:tcW w:w="832" w:type="dxa"/>
          </w:tcPr>
          <w:p w14:paraId="1FF9D919">
            <w:pPr>
              <w:outlineLvl w:val="9"/>
              <w:rPr>
                <w:rFonts w:hint="eastAsia" w:ascii="仿宋" w:hAnsi="仿宋" w:eastAsia="仿宋" w:cs="仿宋"/>
                <w:color w:val="auto"/>
                <w:sz w:val="24"/>
                <w:szCs w:val="24"/>
                <w:highlight w:val="none"/>
              </w:rPr>
            </w:pPr>
          </w:p>
        </w:tc>
        <w:tc>
          <w:tcPr>
            <w:tcW w:w="822" w:type="dxa"/>
          </w:tcPr>
          <w:p w14:paraId="68A6F2F5">
            <w:pPr>
              <w:outlineLvl w:val="9"/>
              <w:rPr>
                <w:rFonts w:hint="eastAsia" w:ascii="仿宋" w:hAnsi="仿宋" w:eastAsia="仿宋" w:cs="仿宋"/>
                <w:color w:val="auto"/>
                <w:sz w:val="24"/>
                <w:szCs w:val="24"/>
                <w:highlight w:val="none"/>
              </w:rPr>
            </w:pPr>
          </w:p>
        </w:tc>
        <w:tc>
          <w:tcPr>
            <w:tcW w:w="514" w:type="dxa"/>
          </w:tcPr>
          <w:p w14:paraId="355F42DB">
            <w:pPr>
              <w:outlineLvl w:val="9"/>
              <w:rPr>
                <w:rFonts w:hint="eastAsia" w:ascii="仿宋" w:hAnsi="仿宋" w:eastAsia="仿宋" w:cs="仿宋"/>
                <w:color w:val="auto"/>
                <w:sz w:val="24"/>
                <w:szCs w:val="24"/>
                <w:highlight w:val="none"/>
              </w:rPr>
            </w:pPr>
          </w:p>
        </w:tc>
        <w:tc>
          <w:tcPr>
            <w:tcW w:w="1377" w:type="dxa"/>
          </w:tcPr>
          <w:p w14:paraId="5F308CA7">
            <w:pPr>
              <w:outlineLvl w:val="9"/>
              <w:rPr>
                <w:rFonts w:hint="eastAsia" w:ascii="仿宋" w:hAnsi="仿宋" w:eastAsia="仿宋" w:cs="仿宋"/>
                <w:color w:val="auto"/>
                <w:sz w:val="24"/>
                <w:szCs w:val="24"/>
                <w:highlight w:val="none"/>
              </w:rPr>
            </w:pPr>
          </w:p>
        </w:tc>
        <w:tc>
          <w:tcPr>
            <w:tcW w:w="1386" w:type="dxa"/>
          </w:tcPr>
          <w:p w14:paraId="33C45051">
            <w:pPr>
              <w:outlineLvl w:val="9"/>
              <w:rPr>
                <w:rFonts w:hint="eastAsia" w:ascii="仿宋" w:hAnsi="仿宋" w:eastAsia="仿宋" w:cs="仿宋"/>
                <w:color w:val="auto"/>
                <w:sz w:val="24"/>
                <w:szCs w:val="24"/>
                <w:highlight w:val="none"/>
              </w:rPr>
            </w:pPr>
          </w:p>
        </w:tc>
      </w:tr>
      <w:tr w14:paraId="3F10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282C724C">
            <w:pPr>
              <w:outlineLvl w:val="9"/>
              <w:rPr>
                <w:rFonts w:hint="eastAsia" w:ascii="仿宋" w:hAnsi="仿宋" w:eastAsia="仿宋" w:cs="仿宋"/>
                <w:color w:val="auto"/>
                <w:sz w:val="24"/>
                <w:szCs w:val="24"/>
                <w:highlight w:val="none"/>
              </w:rPr>
            </w:pPr>
          </w:p>
        </w:tc>
        <w:tc>
          <w:tcPr>
            <w:tcW w:w="1461" w:type="dxa"/>
          </w:tcPr>
          <w:p w14:paraId="73A0DF4B">
            <w:pPr>
              <w:outlineLvl w:val="9"/>
              <w:rPr>
                <w:rFonts w:hint="eastAsia" w:ascii="仿宋" w:hAnsi="仿宋" w:eastAsia="仿宋" w:cs="仿宋"/>
                <w:color w:val="auto"/>
                <w:sz w:val="24"/>
                <w:szCs w:val="24"/>
                <w:highlight w:val="none"/>
              </w:rPr>
            </w:pPr>
          </w:p>
        </w:tc>
        <w:tc>
          <w:tcPr>
            <w:tcW w:w="1623" w:type="dxa"/>
          </w:tcPr>
          <w:p w14:paraId="41796DCA">
            <w:pPr>
              <w:outlineLvl w:val="9"/>
              <w:rPr>
                <w:rFonts w:hint="eastAsia" w:ascii="仿宋" w:hAnsi="仿宋" w:eastAsia="仿宋" w:cs="仿宋"/>
                <w:color w:val="auto"/>
                <w:sz w:val="24"/>
                <w:szCs w:val="24"/>
                <w:highlight w:val="none"/>
              </w:rPr>
            </w:pPr>
          </w:p>
        </w:tc>
        <w:tc>
          <w:tcPr>
            <w:tcW w:w="832" w:type="dxa"/>
          </w:tcPr>
          <w:p w14:paraId="0B8E5038">
            <w:pPr>
              <w:outlineLvl w:val="9"/>
              <w:rPr>
                <w:rFonts w:hint="eastAsia" w:ascii="仿宋" w:hAnsi="仿宋" w:eastAsia="仿宋" w:cs="仿宋"/>
                <w:color w:val="auto"/>
                <w:sz w:val="24"/>
                <w:szCs w:val="24"/>
                <w:highlight w:val="none"/>
              </w:rPr>
            </w:pPr>
          </w:p>
        </w:tc>
        <w:tc>
          <w:tcPr>
            <w:tcW w:w="822" w:type="dxa"/>
          </w:tcPr>
          <w:p w14:paraId="53A51C3E">
            <w:pPr>
              <w:outlineLvl w:val="9"/>
              <w:rPr>
                <w:rFonts w:hint="eastAsia" w:ascii="仿宋" w:hAnsi="仿宋" w:eastAsia="仿宋" w:cs="仿宋"/>
                <w:color w:val="auto"/>
                <w:sz w:val="24"/>
                <w:szCs w:val="24"/>
                <w:highlight w:val="none"/>
              </w:rPr>
            </w:pPr>
          </w:p>
        </w:tc>
        <w:tc>
          <w:tcPr>
            <w:tcW w:w="514" w:type="dxa"/>
          </w:tcPr>
          <w:p w14:paraId="0967DAF5">
            <w:pPr>
              <w:outlineLvl w:val="9"/>
              <w:rPr>
                <w:rFonts w:hint="eastAsia" w:ascii="仿宋" w:hAnsi="仿宋" w:eastAsia="仿宋" w:cs="仿宋"/>
                <w:color w:val="auto"/>
                <w:sz w:val="24"/>
                <w:szCs w:val="24"/>
                <w:highlight w:val="none"/>
              </w:rPr>
            </w:pPr>
          </w:p>
        </w:tc>
        <w:tc>
          <w:tcPr>
            <w:tcW w:w="1377" w:type="dxa"/>
          </w:tcPr>
          <w:p w14:paraId="18403233">
            <w:pPr>
              <w:outlineLvl w:val="9"/>
              <w:rPr>
                <w:rFonts w:hint="eastAsia" w:ascii="仿宋" w:hAnsi="仿宋" w:eastAsia="仿宋" w:cs="仿宋"/>
                <w:color w:val="auto"/>
                <w:sz w:val="24"/>
                <w:szCs w:val="24"/>
                <w:highlight w:val="none"/>
              </w:rPr>
            </w:pPr>
          </w:p>
        </w:tc>
        <w:tc>
          <w:tcPr>
            <w:tcW w:w="1386" w:type="dxa"/>
          </w:tcPr>
          <w:p w14:paraId="0528EC44">
            <w:pPr>
              <w:outlineLvl w:val="9"/>
              <w:rPr>
                <w:rFonts w:hint="eastAsia" w:ascii="仿宋" w:hAnsi="仿宋" w:eastAsia="仿宋" w:cs="仿宋"/>
                <w:color w:val="auto"/>
                <w:sz w:val="24"/>
                <w:szCs w:val="24"/>
                <w:highlight w:val="none"/>
              </w:rPr>
            </w:pPr>
          </w:p>
        </w:tc>
      </w:tr>
      <w:tr w14:paraId="03C76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14:paraId="0FBFCB5C">
            <w:pPr>
              <w:outlineLvl w:val="9"/>
              <w:rPr>
                <w:rFonts w:hint="eastAsia" w:ascii="仿宋" w:hAnsi="仿宋" w:eastAsia="仿宋" w:cs="仿宋"/>
                <w:color w:val="auto"/>
                <w:sz w:val="24"/>
                <w:szCs w:val="24"/>
                <w:highlight w:val="none"/>
              </w:rPr>
            </w:pPr>
            <w:bookmarkStart w:id="43" w:name="_Toc18746"/>
            <w:bookmarkStart w:id="44" w:name="_Toc15703"/>
            <w:bookmarkStart w:id="45" w:name="_Toc16401"/>
            <w:bookmarkStart w:id="46" w:name="_Toc25107"/>
            <w:bookmarkStart w:id="47" w:name="_Toc10934"/>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14:paraId="4542B2C3">
            <w:pPr>
              <w:outlineLvl w:val="9"/>
              <w:rPr>
                <w:rFonts w:hint="eastAsia" w:ascii="仿宋" w:hAnsi="仿宋" w:eastAsia="仿宋" w:cs="仿宋"/>
                <w:color w:val="auto"/>
                <w:sz w:val="24"/>
                <w:szCs w:val="24"/>
                <w:highlight w:val="none"/>
              </w:rPr>
            </w:pPr>
            <w:bookmarkStart w:id="48" w:name="_Toc10002"/>
            <w:bookmarkStart w:id="49" w:name="_Toc18304"/>
            <w:bookmarkStart w:id="50" w:name="_Toc31431"/>
            <w:bookmarkStart w:id="51" w:name="_Toc3316"/>
            <w:bookmarkStart w:id="52" w:name="_Toc9771"/>
            <w:r>
              <w:rPr>
                <w:rFonts w:hint="eastAsia" w:ascii="仿宋" w:hAnsi="仿宋" w:eastAsia="仿宋" w:cs="仿宋"/>
                <w:color w:val="auto"/>
                <w:sz w:val="24"/>
                <w:szCs w:val="24"/>
                <w:highlight w:val="none"/>
              </w:rPr>
              <w:t>¥</w:t>
            </w:r>
            <w:bookmarkEnd w:id="48"/>
            <w:bookmarkEnd w:id="49"/>
            <w:bookmarkEnd w:id="50"/>
            <w:bookmarkEnd w:id="51"/>
            <w:bookmarkEnd w:id="52"/>
          </w:p>
        </w:tc>
      </w:tr>
    </w:tbl>
    <w:p w14:paraId="2929CF9D">
      <w:pPr>
        <w:pStyle w:val="3"/>
        <w:spacing w:line="360" w:lineRule="auto"/>
        <w:jc w:val="both"/>
        <w:rPr>
          <w:rFonts w:hint="eastAsia" w:ascii="仿宋" w:hAnsi="仿宋" w:eastAsia="仿宋" w:cs="仿宋"/>
          <w:color w:val="auto"/>
          <w:sz w:val="24"/>
          <w:szCs w:val="24"/>
          <w:highlight w:val="none"/>
        </w:rPr>
      </w:pPr>
      <w:bookmarkStart w:id="53" w:name="_Toc28512"/>
      <w:bookmarkStart w:id="54" w:name="_Toc14881"/>
      <w:bookmarkStart w:id="55" w:name="_Toc6586"/>
      <w:r>
        <w:rPr>
          <w:rFonts w:hint="eastAsia" w:ascii="仿宋" w:hAnsi="仿宋" w:eastAsia="仿宋" w:cs="仿宋"/>
          <w:color w:val="auto"/>
          <w:sz w:val="24"/>
          <w:szCs w:val="24"/>
          <w:highlight w:val="none"/>
        </w:rPr>
        <w:t>第二条 合同价款</w:t>
      </w:r>
      <w:bookmarkEnd w:id="53"/>
      <w:bookmarkEnd w:id="54"/>
      <w:bookmarkEnd w:id="55"/>
    </w:p>
    <w:p w14:paraId="44F8F86F">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00FE2563">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14:paraId="66FE1ABD">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50B6A5A4">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14:paraId="3052C521">
      <w:pPr>
        <w:pStyle w:val="3"/>
        <w:spacing w:line="360" w:lineRule="auto"/>
        <w:jc w:val="both"/>
        <w:rPr>
          <w:rFonts w:hint="default" w:ascii="仿宋" w:hAnsi="仿宋" w:eastAsia="仿宋" w:cs="仿宋"/>
          <w:color w:val="auto"/>
          <w:sz w:val="24"/>
          <w:szCs w:val="24"/>
          <w:highlight w:val="none"/>
          <w:lang w:val="en-US" w:eastAsia="zh-CN"/>
        </w:rPr>
      </w:pPr>
      <w:bookmarkStart w:id="57" w:name="_Toc14426"/>
      <w:bookmarkStart w:id="58" w:name="_Toc2721"/>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14:paraId="683B80C2">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bookmarkStart w:id="59" w:name="_Toc7450"/>
      <w:bookmarkStart w:id="60" w:name="_Toc7176"/>
      <w:bookmarkStart w:id="61" w:name="_Toc24977"/>
      <w:r>
        <w:rPr>
          <w:rFonts w:hint="eastAsia" w:ascii="仿宋" w:hAnsi="仿宋" w:eastAsia="仿宋" w:cs="仿宋"/>
          <w:b w:val="0"/>
          <w:bCs w:val="0"/>
          <w:color w:val="auto"/>
          <w:kern w:val="1"/>
          <w:sz w:val="24"/>
          <w:szCs w:val="24"/>
          <w:highlight w:val="none"/>
          <w:lang w:val="en-US" w:eastAsia="zh-CN" w:bidi="ar-SA"/>
        </w:rPr>
        <w:t>采购包1： 付款条件说明：合同签订后，达到付款条件起10日内，支付合同总金额的 40.00%。</w:t>
      </w:r>
    </w:p>
    <w:p w14:paraId="2333AF7B">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采购包1： 付款条件说明：所有货物到达甲方指定地点，安装、调试完毕后，达到付款条件起10日内，支付合同总金额的 50.00%。</w:t>
      </w:r>
    </w:p>
    <w:p w14:paraId="162248E9">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采购包1： 付款条件说明：项目经采购人验收合格后，达到付款条件起10 日内，支付合同总金额的10.00%。</w:t>
      </w:r>
    </w:p>
    <w:p w14:paraId="09A8169F">
      <w:pPr>
        <w:pStyle w:val="3"/>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第四条 </w:t>
      </w:r>
      <w:r>
        <w:rPr>
          <w:rFonts w:hint="eastAsia" w:ascii="仿宋" w:hAnsi="仿宋" w:eastAsia="仿宋" w:cs="仿宋"/>
          <w:color w:val="auto"/>
          <w:sz w:val="24"/>
          <w:szCs w:val="24"/>
          <w:highlight w:val="none"/>
        </w:rPr>
        <w:t>交</w:t>
      </w:r>
      <w:r>
        <w:rPr>
          <w:rFonts w:hint="eastAsia" w:ascii="仿宋" w:hAnsi="仿宋" w:eastAsia="仿宋" w:cs="仿宋"/>
          <w:color w:val="auto"/>
          <w:sz w:val="24"/>
          <w:szCs w:val="24"/>
          <w:highlight w:val="none"/>
          <w:lang w:val="en-US" w:eastAsia="zh-CN"/>
        </w:rPr>
        <w:t>货期限</w:t>
      </w:r>
      <w:bookmarkEnd w:id="59"/>
      <w:bookmarkEnd w:id="60"/>
      <w:bookmarkEnd w:id="61"/>
    </w:p>
    <w:p w14:paraId="09751DB3">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bookmarkStart w:id="62" w:name="_Toc8595"/>
      <w:r>
        <w:rPr>
          <w:rFonts w:hint="eastAsia" w:ascii="仿宋" w:hAnsi="仿宋" w:eastAsia="仿宋" w:cs="仿宋"/>
          <w:b w:val="0"/>
          <w:bCs w:val="0"/>
          <w:color w:val="auto"/>
          <w:kern w:val="1"/>
          <w:sz w:val="24"/>
          <w:szCs w:val="24"/>
          <w:highlight w:val="none"/>
          <w:lang w:val="en-US" w:eastAsia="zh-CN" w:bidi="ar-SA"/>
        </w:rPr>
        <w:t>签订合同后一个月内。</w:t>
      </w:r>
    </w:p>
    <w:p w14:paraId="4902878E">
      <w:pPr>
        <w:pStyle w:val="16"/>
        <w:keepNext w:val="0"/>
        <w:keepLines w:val="0"/>
        <w:pageBreakBefore w:val="0"/>
        <w:kinsoku/>
        <w:wordWrap/>
        <w:overflowPunct/>
        <w:topLinePunct w:val="0"/>
        <w:autoSpaceDE/>
        <w:autoSpaceDN/>
        <w:bidi w:val="0"/>
        <w:adjustRightInd w:val="0"/>
        <w:snapToGrid w:val="0"/>
        <w:spacing w:line="360" w:lineRule="auto"/>
        <w:textAlignment w:val="auto"/>
        <w:outlineLvl w:val="3"/>
        <w:rPr>
          <w:color w:val="auto"/>
        </w:rPr>
      </w:pPr>
      <w:r>
        <w:rPr>
          <w:rFonts w:hint="eastAsia" w:ascii="仿宋" w:hAnsi="仿宋" w:eastAsia="仿宋" w:cs="仿宋"/>
          <w:b/>
          <w:bCs/>
          <w:color w:val="auto"/>
          <w:kern w:val="0"/>
          <w:sz w:val="24"/>
          <w:szCs w:val="24"/>
          <w:highlight w:val="none"/>
          <w:lang w:val="en-US" w:eastAsia="zh-CN" w:bidi="ar-SA"/>
        </w:rPr>
        <w:t xml:space="preserve">第五条 </w:t>
      </w:r>
      <w:r>
        <w:rPr>
          <w:rFonts w:ascii="仿宋_GB2312" w:hAnsi="仿宋_GB2312" w:eastAsia="仿宋_GB2312" w:cs="仿宋_GB2312"/>
          <w:b/>
          <w:color w:val="auto"/>
          <w:sz w:val="24"/>
        </w:rPr>
        <w:t>质量保修范围和保修期</w:t>
      </w:r>
    </w:p>
    <w:p w14:paraId="13A7E1C2">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 xml:space="preserve">1.软件系统升级维护期限：自验收合格后提供1年免费维护；硬件设备质保期：提供五年原厂质保。中标人承诺的质保时间超过采购文件要求的，按其承诺时间质保。 </w:t>
      </w:r>
    </w:p>
    <w:p w14:paraId="60C90933">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 xml:space="preserve">2.中标人承诺的质保期起始时间为验收合格之日。 </w:t>
      </w:r>
    </w:p>
    <w:p w14:paraId="527C01F1">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 xml:space="preserve">3.所有产品质量必须符合现行的国家标准或国家行政部门颁布的法律法规、规章制度等。没有国家标准的，可以参考行业标准。所有设备及辅材必须是未使用过的新产品，质量优良、渠道正当，配置合理。 </w:t>
      </w:r>
    </w:p>
    <w:p w14:paraId="0CAB51CD">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 xml:space="preserve">4.质保期出现的质量问题由中标人负责解决并承担所有费用。质保期后如需更换零部件，中标人应以优惠价提供。 </w:t>
      </w:r>
    </w:p>
    <w:p w14:paraId="367AC30F">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5.质量要求：按照相关国家及行业标准。</w:t>
      </w:r>
    </w:p>
    <w:p w14:paraId="092B294C">
      <w:pPr>
        <w:pStyle w:val="3"/>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仿宋" w:hAnsi="仿宋" w:eastAsia="仿宋" w:cs="仿宋"/>
          <w:color w:val="auto"/>
          <w:sz w:val="24"/>
          <w:szCs w:val="24"/>
          <w:highlight w:val="none"/>
          <w:lang w:val="en-US" w:eastAsia="zh-CN"/>
        </w:rPr>
      </w:pPr>
      <w:bookmarkStart w:id="63" w:name="_Toc2774"/>
      <w:bookmarkStart w:id="64" w:name="_Toc18347"/>
      <w:r>
        <w:rPr>
          <w:rFonts w:hint="eastAsia" w:ascii="仿宋" w:hAnsi="仿宋" w:eastAsia="仿宋" w:cs="仿宋"/>
          <w:color w:val="auto"/>
          <w:sz w:val="24"/>
          <w:szCs w:val="24"/>
          <w:highlight w:val="none"/>
          <w:lang w:val="en-US" w:eastAsia="zh-CN"/>
        </w:rPr>
        <w:t xml:space="preserve">第六条 </w:t>
      </w:r>
      <w:bookmarkEnd w:id="62"/>
      <w:bookmarkEnd w:id="63"/>
      <w:bookmarkEnd w:id="64"/>
      <w:r>
        <w:rPr>
          <w:rFonts w:ascii="仿宋_GB2312" w:hAnsi="仿宋_GB2312" w:eastAsia="仿宋_GB2312" w:cs="仿宋_GB2312"/>
          <w:b/>
          <w:sz w:val="24"/>
        </w:rPr>
        <w:t>考核（验收）标准和方法</w:t>
      </w:r>
    </w:p>
    <w:p w14:paraId="4AB71319">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bookmarkStart w:id="65" w:name="_Toc26000"/>
      <w:bookmarkStart w:id="66" w:name="_Toc5147"/>
      <w:bookmarkStart w:id="67" w:name="_Toc23635"/>
      <w:r>
        <w:rPr>
          <w:rFonts w:hint="eastAsia" w:ascii="仿宋" w:hAnsi="仿宋" w:eastAsia="仿宋" w:cs="仿宋"/>
          <w:b w:val="0"/>
          <w:bCs w:val="0"/>
          <w:color w:val="auto"/>
          <w:kern w:val="1"/>
          <w:sz w:val="24"/>
          <w:szCs w:val="24"/>
          <w:highlight w:val="none"/>
          <w:lang w:val="en-US" w:eastAsia="zh-CN" w:bidi="ar-SA"/>
        </w:rPr>
        <w:t xml:space="preserve">采购人应在投标人履行合同义务后，按照合同规定的采购需求、技术、质量、服务、安全标准等内容，对成交供应商履约情况进行验收，对其产品(设备)技术指标、性能参数以及工程质量是否达到现行国家有关验收规范“合格”标准进行逐项检查。 </w:t>
      </w:r>
    </w:p>
    <w:p w14:paraId="1F21CDEE">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lang w:val="en-US" w:eastAsia="zh-CN" w:bidi="ar-SA"/>
        </w:rPr>
        <w:t>1.</w:t>
      </w:r>
      <w:r>
        <w:rPr>
          <w:rFonts w:hint="eastAsia" w:ascii="仿宋" w:hAnsi="仿宋" w:eastAsia="仿宋" w:cs="仿宋"/>
          <w:b w:val="0"/>
          <w:bCs w:val="0"/>
          <w:color w:val="auto"/>
          <w:kern w:val="1"/>
          <w:sz w:val="24"/>
          <w:szCs w:val="24"/>
          <w:highlight w:val="none"/>
          <w:lang w:val="en-US" w:eastAsia="zh-CN" w:bidi="ar-SA"/>
        </w:rPr>
        <w:t xml:space="preserve">所验产品(设备)的指标、性能参数通过验收达不到招标文件要求和投标文件承诺的，或在使用中发现采购人不能容忍的缺陷等，将视为设备(设备)验收不合格，投标人应无条件免费更换或退货。 </w:t>
      </w:r>
    </w:p>
    <w:p w14:paraId="53955F42">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 xml:space="preserve">2.若发现投标人有弄虚作假的，在投标阶段故意或随意夸大产品(设备) 技术性能，投标人应无条件退货，并赔偿采购人相应的损失。 </w:t>
      </w:r>
    </w:p>
    <w:p w14:paraId="3B2BD2E4">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3.验收标准：按合同文本、招标文件、投标文件及澄清函等技术指标进行验收。各项指标均应符合验收标准及要求。</w:t>
      </w:r>
    </w:p>
    <w:p w14:paraId="673ABD77">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4.验收合格后，填写验收单。</w:t>
      </w:r>
    </w:p>
    <w:p w14:paraId="05F88AFA">
      <w:pPr>
        <w:pStyle w:val="14"/>
        <w:spacing w:line="360" w:lineRule="auto"/>
        <w:ind w:left="0" w:leftChars="0" w:firstLine="0" w:firstLineChars="0"/>
        <w:outlineLvl w:val="1"/>
        <w:rPr>
          <w:rFonts w:hint="eastAsia" w:ascii="仿宋" w:hAnsi="仿宋" w:eastAsia="仿宋" w:cs="仿宋"/>
          <w:b/>
          <w:color w:val="auto"/>
          <w:highlight w:val="none"/>
        </w:rPr>
      </w:pPr>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权利保证</w:t>
      </w:r>
      <w:bookmarkEnd w:id="65"/>
      <w:bookmarkEnd w:id="66"/>
      <w:bookmarkEnd w:id="67"/>
    </w:p>
    <w:p w14:paraId="63F24973">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14:paraId="68EE90FD">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14:paraId="2229E764">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14:paraId="40A07859">
      <w:pPr>
        <w:pStyle w:val="14"/>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14:paraId="6C8C3E9A">
      <w:pPr>
        <w:pStyle w:val="14"/>
        <w:spacing w:line="360" w:lineRule="auto"/>
        <w:ind w:left="0" w:leftChars="0" w:firstLine="0" w:firstLineChars="0"/>
        <w:outlineLvl w:val="1"/>
        <w:rPr>
          <w:rFonts w:hint="default" w:ascii="仿宋" w:hAnsi="仿宋" w:eastAsia="仿宋" w:cs="仿宋"/>
          <w:b/>
          <w:color w:val="auto"/>
          <w:highlight w:val="none"/>
          <w:lang w:val="en-US" w:eastAsia="zh-CN"/>
        </w:rPr>
      </w:pPr>
      <w:bookmarkStart w:id="68" w:name="_Toc31476"/>
      <w:bookmarkStart w:id="69" w:name="_Toc31505"/>
      <w:bookmarkStart w:id="70" w:name="_Toc18410"/>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14:paraId="45217E55">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14:paraId="39246399">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14:paraId="3EAB740F">
      <w:pPr>
        <w:pStyle w:val="14"/>
        <w:spacing w:line="360" w:lineRule="auto"/>
        <w:ind w:left="0" w:leftChars="0" w:firstLine="0" w:firstLineChars="0"/>
        <w:outlineLvl w:val="9"/>
        <w:rPr>
          <w:rFonts w:hint="eastAsia" w:ascii="仿宋" w:hAnsi="仿宋" w:eastAsia="仿宋" w:cs="仿宋"/>
          <w:b/>
          <w:color w:val="auto"/>
          <w:highlight w:val="none"/>
        </w:rPr>
      </w:pPr>
      <w:bookmarkStart w:id="83" w:name="_GoBack"/>
      <w:bookmarkEnd w:id="83"/>
      <w:bookmarkStart w:id="71" w:name="_Toc28698"/>
      <w:bookmarkStart w:id="72" w:name="_Toc3711"/>
      <w:bookmarkStart w:id="73" w:name="_Toc3919"/>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九</w:t>
      </w:r>
      <w:r>
        <w:rPr>
          <w:rFonts w:hint="eastAsia" w:ascii="仿宋" w:hAnsi="仿宋" w:eastAsia="仿宋" w:cs="仿宋"/>
          <w:b/>
          <w:color w:val="auto"/>
          <w:highlight w:val="none"/>
        </w:rPr>
        <w:t xml:space="preserve">条 </w:t>
      </w:r>
      <w:bookmarkEnd w:id="71"/>
      <w:bookmarkEnd w:id="72"/>
      <w:bookmarkEnd w:id="73"/>
      <w:r>
        <w:rPr>
          <w:rFonts w:hint="eastAsia" w:ascii="仿宋" w:hAnsi="仿宋" w:eastAsia="仿宋" w:cs="仿宋"/>
          <w:b/>
          <w:color w:val="auto"/>
          <w:highlight w:val="none"/>
        </w:rPr>
        <w:t>违约责任与解决争议的方法</w:t>
      </w:r>
    </w:p>
    <w:p w14:paraId="17105511">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bookmarkStart w:id="74" w:name="_Toc13805"/>
      <w:bookmarkStart w:id="75" w:name="_Toc17126"/>
      <w:bookmarkStart w:id="76" w:name="_Toc27557"/>
      <w:r>
        <w:rPr>
          <w:rFonts w:hint="eastAsia" w:ascii="仿宋" w:hAnsi="仿宋" w:eastAsia="仿宋" w:cs="仿宋"/>
          <w:color w:val="auto"/>
          <w:kern w:val="0"/>
          <w:sz w:val="24"/>
          <w:szCs w:val="24"/>
          <w:highlight w:val="none"/>
          <w:lang w:val="en-US" w:eastAsia="zh-CN" w:bidi="ar-SA"/>
        </w:rPr>
        <w:t xml:space="preserve">1.中标人未按合同要求提供服务或服务质量不能满足技术要求，且在规定时间内未使采购人满意的，采购人有权终止合同并对其违约行为进行追究。具体按《中华人民共和国民法典》中的相关条款执行。 </w:t>
      </w:r>
    </w:p>
    <w:p w14:paraId="132CAEFF">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2.任何一方若违反本合同其他约定，致使本合同无法履行，违约方应向守约方赔偿实际损失。 </w:t>
      </w:r>
    </w:p>
    <w:p w14:paraId="51AA8BDA">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 </w:t>
      </w:r>
    </w:p>
    <w:p w14:paraId="22489925">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4.本合同约定的损失，包括但不限于直接或间接的经济损失、律师费、诉讼费、保全费、鉴定费等损失。 </w:t>
      </w:r>
    </w:p>
    <w:p w14:paraId="30002FA6">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5.本合同约定的违约情形独立存在，可叠加适用。中标人按照合同约定应当向甲方支付的违约金，中标人同意采购人从应付未付款中直接予以扣除。 </w:t>
      </w:r>
    </w:p>
    <w:p w14:paraId="5957BB28">
      <w:pPr>
        <w:pStyle w:val="1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6.因执行本合同所发生的或与本合同有关的一切争议,双方应通过友好协商解决。如果协商开始后六十（60）天还不能解决，双方可依以下一种方式解决：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14:paraId="0015563C">
      <w:pPr>
        <w:widowControl/>
        <w:spacing w:line="360" w:lineRule="auto"/>
        <w:jc w:val="left"/>
        <w:outlineLvl w:val="1"/>
        <w:rPr>
          <w:rFonts w:hint="eastAsia" w:ascii="仿宋" w:hAnsi="仿宋" w:eastAsia="仿宋" w:cs="仿宋"/>
          <w:color w:val="auto"/>
          <w:kern w:val="0"/>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14:paraId="164ADDE7">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061C9981">
      <w:pPr>
        <w:snapToGrid w:val="0"/>
        <w:spacing w:line="360" w:lineRule="auto"/>
        <w:textAlignment w:val="baseline"/>
        <w:outlineLvl w:val="1"/>
        <w:rPr>
          <w:rFonts w:hint="eastAsia" w:ascii="仿宋" w:hAnsi="仿宋" w:eastAsia="仿宋" w:cs="仿宋"/>
          <w:b/>
          <w:color w:val="auto"/>
          <w:sz w:val="24"/>
          <w:szCs w:val="24"/>
          <w:highlight w:val="none"/>
        </w:rPr>
      </w:pPr>
      <w:bookmarkStart w:id="77" w:name="_Toc26051"/>
      <w:bookmarkStart w:id="78" w:name="_Toc6911"/>
      <w:bookmarkStart w:id="79" w:name="_Toc24039"/>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77"/>
      <w:bookmarkEnd w:id="78"/>
      <w:bookmarkEnd w:id="79"/>
    </w:p>
    <w:p w14:paraId="1D804447">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7E697D53">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5C37988">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14:paraId="5DF6D8F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32B2982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14:paraId="678BF126">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14:paraId="14A7EFEC">
      <w:pPr>
        <w:snapToGrid w:val="0"/>
        <w:spacing w:line="360" w:lineRule="auto"/>
        <w:outlineLvl w:val="1"/>
        <w:rPr>
          <w:rFonts w:hint="eastAsia" w:ascii="仿宋" w:hAnsi="仿宋" w:eastAsia="仿宋" w:cs="仿宋"/>
          <w:b/>
          <w:color w:val="auto"/>
          <w:kern w:val="0"/>
          <w:sz w:val="24"/>
          <w:szCs w:val="24"/>
          <w:highlight w:val="none"/>
        </w:rPr>
      </w:pPr>
      <w:bookmarkStart w:id="80" w:name="_Toc1382"/>
      <w:bookmarkStart w:id="81" w:name="_Toc32342"/>
      <w:bookmarkStart w:id="82" w:name="_Toc138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0"/>
      <w:bookmarkEnd w:id="81"/>
      <w:bookmarkEnd w:id="82"/>
    </w:p>
    <w:p w14:paraId="38A763C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14:paraId="4DCDC72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14:paraId="2382555E">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48B4209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14:paraId="4906A1D2">
      <w:pPr>
        <w:spacing w:line="360" w:lineRule="auto"/>
        <w:ind w:firstLine="480" w:firstLineChars="200"/>
        <w:rPr>
          <w:rFonts w:hint="eastAsia" w:ascii="仿宋" w:hAnsi="仿宋" w:eastAsia="仿宋" w:cs="仿宋"/>
          <w:color w:val="auto"/>
          <w:sz w:val="24"/>
          <w:szCs w:val="24"/>
          <w:highlight w:val="none"/>
        </w:rPr>
      </w:pPr>
    </w:p>
    <w:p w14:paraId="11F4DA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5964218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42CA00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C3CC94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07114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7C3978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6D76C60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3C510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2DE32A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CBE8341-AB11-41C2-AF67-5D2921B66261}"/>
  </w:font>
  <w:font w:name="Cambria">
    <w:panose1 w:val="02040503050406030204"/>
    <w:charset w:val="00"/>
    <w:family w:val="roman"/>
    <w:pitch w:val="default"/>
    <w:sig w:usb0="E00006FF" w:usb1="420024FF" w:usb2="02000000" w:usb3="00000000" w:csb0="2000019F" w:csb1="00000000"/>
  </w:font>
  <w:font w:name="方正小标宋简体">
    <w:panose1 w:val="02010600010101010101"/>
    <w:charset w:val="86"/>
    <w:family w:val="auto"/>
    <w:pitch w:val="default"/>
    <w:sig w:usb0="00000001" w:usb1="080E0000" w:usb2="00000000" w:usb3="00000000" w:csb0="00040000" w:csb1="00000000"/>
    <w:embedRegular r:id="rId2" w:fontKey="{5474C09A-74BF-4BFB-BB44-1DE6346505AD}"/>
  </w:font>
  <w:font w:name="仿宋">
    <w:panose1 w:val="02010609060101010101"/>
    <w:charset w:val="86"/>
    <w:family w:val="modern"/>
    <w:pitch w:val="default"/>
    <w:sig w:usb0="800002BF" w:usb1="38CF7CFA" w:usb2="00000016" w:usb3="00000000" w:csb0="00040001" w:csb1="00000000"/>
    <w:embedRegular r:id="rId3" w:fontKey="{3ACC7C27-219B-40DA-84F9-AB670CB7130A}"/>
  </w:font>
  <w:font w:name="仿宋_GB2312">
    <w:altName w:val="仿宋"/>
    <w:panose1 w:val="00000000000000000000"/>
    <w:charset w:val="00"/>
    <w:family w:val="auto"/>
    <w:pitch w:val="default"/>
    <w:sig w:usb0="00000000" w:usb1="00000000" w:usb2="00000000" w:usb3="00000000" w:csb0="00000000" w:csb1="00000000"/>
    <w:embedRegular r:id="rId4" w:fontKey="{95421EC4-2AB3-49FC-AEFA-0AFEFD072802}"/>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38E42B80"/>
    <w:rsid w:val="020E02AA"/>
    <w:rsid w:val="03DF3BE5"/>
    <w:rsid w:val="06824DC3"/>
    <w:rsid w:val="07E51AAD"/>
    <w:rsid w:val="0B1A04DC"/>
    <w:rsid w:val="0C0544CC"/>
    <w:rsid w:val="0FE47B20"/>
    <w:rsid w:val="123F625E"/>
    <w:rsid w:val="16EB2510"/>
    <w:rsid w:val="17E72CD8"/>
    <w:rsid w:val="180B4E43"/>
    <w:rsid w:val="1867206B"/>
    <w:rsid w:val="18FE2B4F"/>
    <w:rsid w:val="1D3C5874"/>
    <w:rsid w:val="1D3C6D55"/>
    <w:rsid w:val="21B302F6"/>
    <w:rsid w:val="263C4B36"/>
    <w:rsid w:val="264913D7"/>
    <w:rsid w:val="28D127AC"/>
    <w:rsid w:val="2A7C59B7"/>
    <w:rsid w:val="2F95544C"/>
    <w:rsid w:val="31570A76"/>
    <w:rsid w:val="321150C9"/>
    <w:rsid w:val="328422AA"/>
    <w:rsid w:val="33613CE8"/>
    <w:rsid w:val="33E4755F"/>
    <w:rsid w:val="354F3848"/>
    <w:rsid w:val="38E42B80"/>
    <w:rsid w:val="390D7DB6"/>
    <w:rsid w:val="39186D3D"/>
    <w:rsid w:val="397078B6"/>
    <w:rsid w:val="3D0A09CF"/>
    <w:rsid w:val="3EB2121E"/>
    <w:rsid w:val="40C434E9"/>
    <w:rsid w:val="45A04342"/>
    <w:rsid w:val="4BB548C0"/>
    <w:rsid w:val="4E4361B3"/>
    <w:rsid w:val="4EDE7C89"/>
    <w:rsid w:val="4FB97F09"/>
    <w:rsid w:val="54280325"/>
    <w:rsid w:val="549F610D"/>
    <w:rsid w:val="56881917"/>
    <w:rsid w:val="56B31FEC"/>
    <w:rsid w:val="59F42A57"/>
    <w:rsid w:val="5CE31541"/>
    <w:rsid w:val="61984CBF"/>
    <w:rsid w:val="643B2AF7"/>
    <w:rsid w:val="672D34DB"/>
    <w:rsid w:val="6BEE7E41"/>
    <w:rsid w:val="6BF95CAB"/>
    <w:rsid w:val="6D8433DC"/>
    <w:rsid w:val="6E184C75"/>
    <w:rsid w:val="6ED547AD"/>
    <w:rsid w:val="70180DF5"/>
    <w:rsid w:val="70427DDE"/>
    <w:rsid w:val="70695446"/>
    <w:rsid w:val="73920EBF"/>
    <w:rsid w:val="73D828EE"/>
    <w:rsid w:val="751122B7"/>
    <w:rsid w:val="759A04FF"/>
    <w:rsid w:val="75A373CD"/>
    <w:rsid w:val="7A6723E9"/>
    <w:rsid w:val="7A6C1FF8"/>
    <w:rsid w:val="7ED32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paragraph" w:styleId="3">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5">
    <w:name w:val="annotation text"/>
    <w:basedOn w:val="1"/>
    <w:qFormat/>
    <w:uiPriority w:val="0"/>
    <w:pPr>
      <w:jc w:val="left"/>
    </w:pPr>
  </w:style>
  <w:style w:type="paragraph" w:styleId="6">
    <w:name w:val="Body Text"/>
    <w:basedOn w:val="1"/>
    <w:next w:val="1"/>
    <w:autoRedefine/>
    <w:qFormat/>
    <w:uiPriority w:val="0"/>
    <w:pPr>
      <w:spacing w:after="120"/>
    </w:pPr>
    <w:rPr>
      <w:rFonts w:ascii="Times New Roman" w:hAnsi="Times New Roman"/>
    </w:rPr>
  </w:style>
  <w:style w:type="paragraph" w:styleId="7">
    <w:name w:val="Body Text Indent"/>
    <w:basedOn w:val="1"/>
    <w:next w:val="8"/>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Body Text First Indent 2"/>
    <w:basedOn w:val="7"/>
    <w:next w:val="1"/>
    <w:autoRedefine/>
    <w:qFormat/>
    <w:uiPriority w:val="0"/>
    <w:pPr>
      <w:ind w:firstLine="420" w:firstLineChars="200"/>
    </w:pPr>
    <w:rPr>
      <w:sz w:val="21"/>
    </w:rPr>
  </w:style>
  <w:style w:type="paragraph" w:customStyle="1" w:styleId="14">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5">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2090</Words>
  <Characters>2140</Characters>
  <Lines>0</Lines>
  <Paragraphs>0</Paragraphs>
  <TotalTime>1</TotalTime>
  <ScaleCrop>false</ScaleCrop>
  <LinksUpToDate>false</LinksUpToDate>
  <CharactersWithSpaces>2504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XXIA</cp:lastModifiedBy>
  <dcterms:modified xsi:type="dcterms:W3CDTF">2025-09-08T02:52:06Z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1CCEC583AA234E7190960739386B8EF1_11</vt:lpwstr>
  </property>
  <property fmtid="{D5CDD505-2E9C-101B-9397-08002B2CF9AE}" pid="4" name="KSOTemplateDocerSaveRecord">
    <vt:lpwstr>eyJoZGlkIjoiNzRkODU0NWM1NTRlNTZjMDFhNjAyNDM3ZDE1ZjE0YTMiLCJ1c2VySWQiOiIzMTQzODkxMTYifQ==</vt:lpwstr>
  </property>
</Properties>
</file>