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版本号：YWGL-ZC-2025-002720250908001</w:t>
      </w:r>
      <w:r>
        <w:br/>
      </w:r>
      <w:r>
        <w:br/>
      </w:r>
      <w:r>
        <w:br/>
      </w:r>
      <w:r>
        <w:br/>
      </w:r>
      <w:r>
        <w:br/>
      </w:r>
    </w:p>
    <w:p>
      <w:pPr>
        <w:pStyle w:val="null3"/>
        <w:jc w:val="center"/>
        <w:outlineLvl w:val="0"/>
      </w:pPr>
      <w:r>
        <w:rPr>
          <w:rFonts w:ascii="仿宋_GB2312" w:hAnsi="仿宋_GB2312" w:cs="仿宋_GB2312" w:eastAsia="仿宋_GB2312"/>
          <w:sz w:val="48"/>
          <w:b/>
        </w:rPr>
        <w:t>谈 判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西安文理学院实训室升级改造-旅游产业研究中心项目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YWGL-ZC-2025-0027</w:t>
      </w:r>
      <w:r>
        <w:br/>
      </w:r>
      <w:r>
        <w:br/>
      </w:r>
      <w:r>
        <w:br/>
      </w:r>
    </w:p>
    <w:p>
      <w:pPr>
        <w:pStyle w:val="null3"/>
        <w:jc w:val="center"/>
        <w:outlineLvl w:val="2"/>
      </w:pPr>
      <w:r>
        <w:rPr>
          <w:rFonts w:ascii="仿宋_GB2312" w:hAnsi="仿宋_GB2312" w:cs="仿宋_GB2312" w:eastAsia="仿宋_GB2312"/>
          <w:sz w:val="28"/>
          <w:b/>
        </w:rPr>
        <w:t>西安文理学院（本级）</w:t>
      </w:r>
    </w:p>
    <w:p>
      <w:pPr>
        <w:pStyle w:val="null3"/>
        <w:jc w:val="center"/>
        <w:outlineLvl w:val="2"/>
      </w:pPr>
      <w:r>
        <w:rPr>
          <w:rFonts w:ascii="仿宋_GB2312" w:hAnsi="仿宋_GB2312" w:cs="仿宋_GB2312" w:eastAsia="仿宋_GB2312"/>
          <w:sz w:val="28"/>
          <w:b/>
        </w:rPr>
        <w:t>陕西猷为项目管理有限公司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2025年09月08日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竞争性谈判邀请</w:t>
      </w:r>
    </w:p>
    <w:p>
      <w:pPr>
        <w:pStyle w:val="null3"/>
        <w:ind w:firstLine="480"/>
      </w:pPr>
      <w:r>
        <w:rPr>
          <w:rFonts w:ascii="仿宋_GB2312" w:hAnsi="仿宋_GB2312" w:cs="仿宋_GB2312" w:eastAsia="仿宋_GB2312"/>
        </w:rPr>
        <w:t>陕西猷为项目管理有限公司</w:t>
      </w:r>
      <w:r>
        <w:rPr>
          <w:rFonts w:ascii="仿宋_GB2312" w:hAnsi="仿宋_GB2312" w:cs="仿宋_GB2312" w:eastAsia="仿宋_GB2312"/>
        </w:rPr>
        <w:t>（以下简称“代理机构”）受</w:t>
      </w:r>
      <w:r>
        <w:rPr>
          <w:rFonts w:ascii="仿宋_GB2312" w:hAnsi="仿宋_GB2312" w:cs="仿宋_GB2312" w:eastAsia="仿宋_GB2312"/>
        </w:rPr>
        <w:t>西安文理学院（本级）</w:t>
      </w:r>
      <w:r>
        <w:rPr>
          <w:rFonts w:ascii="仿宋_GB2312" w:hAnsi="仿宋_GB2312" w:cs="仿宋_GB2312" w:eastAsia="仿宋_GB2312"/>
        </w:rPr>
        <w:t>委托，拟对</w:t>
      </w:r>
      <w:r>
        <w:rPr>
          <w:rFonts w:ascii="仿宋_GB2312" w:hAnsi="仿宋_GB2312" w:cs="仿宋_GB2312" w:eastAsia="仿宋_GB2312"/>
        </w:rPr>
        <w:t>西安文理学院实训室升级改造-旅游产业研究中心项目</w:t>
      </w:r>
      <w:r>
        <w:rPr>
          <w:rFonts w:ascii="仿宋_GB2312" w:hAnsi="仿宋_GB2312" w:cs="仿宋_GB2312" w:eastAsia="仿宋_GB2312"/>
        </w:rPr>
        <w:t>采用竞争性谈判采购方式进行采购，兹邀请供应商参加本项目的竞争性谈判。</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YWGL-ZC-2025-0027</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西安文理学院实训室升级改造-旅游产业研究中心项目</w:t>
      </w:r>
    </w:p>
    <w:p>
      <w:pPr>
        <w:pStyle w:val="null3"/>
        <w:outlineLvl w:val="2"/>
      </w:pPr>
      <w:r>
        <w:rPr>
          <w:rFonts w:ascii="仿宋_GB2312" w:hAnsi="仿宋_GB2312" w:cs="仿宋_GB2312" w:eastAsia="仿宋_GB2312"/>
          <w:sz w:val="28"/>
          <w:b/>
        </w:rPr>
        <w:t>三、谈判项目简介：</w:t>
      </w:r>
    </w:p>
    <w:p>
      <w:pPr>
        <w:pStyle w:val="null3"/>
        <w:ind w:firstLine="480"/>
      </w:pPr>
      <w:r>
        <w:rPr>
          <w:rFonts w:ascii="仿宋_GB2312" w:hAnsi="仿宋_GB2312" w:cs="仿宋_GB2312" w:eastAsia="仿宋_GB2312"/>
        </w:rPr>
        <w:t>文理学院旅游产业研究中心实训室升级改造。</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本次采购采取公告征集邀请谈判的供应商。</w:t>
      </w:r>
    </w:p>
    <w:p>
      <w:pPr>
        <w:pStyle w:val="null3"/>
      </w:pPr>
      <w:r>
        <w:rPr>
          <w:rFonts w:ascii="仿宋_GB2312" w:hAnsi="仿宋_GB2312" w:cs="仿宋_GB2312" w:eastAsia="仿宋_GB2312"/>
        </w:rPr>
        <w:t xml:space="preserve"> 公告征集：本次竞争性谈判邀请在“陕西省政府采购网（www.ccgp-shaanxi.gov.cn）”上以公告形式发布，兹邀请符合本次采购要求的供应商参加本项目的竞争性谈判。</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40"/>
        <w:jc w:val="left"/>
      </w:pPr>
      <w:r>
        <w:rPr>
          <w:rFonts w:ascii="仿宋_GB2312" w:hAnsi="仿宋_GB2312" w:cs="仿宋_GB2312" w:eastAsia="仿宋_GB2312"/>
          <w:sz w:val="22"/>
        </w:rPr>
        <w:t>注：监狱企业和残疾人福利性单位视同小微企业，符合中小企业划分标准的个体工商户视同中小企业。</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信用记录：供应商不得为“信用中国”网站(www.creditchina.gov.cn)中列入失信被执行人和重大税收违法失信主体，不得为中国政府采购网(www.ccsp.gov.cn)政府采购严重违法失信行为记录名单中被财政部门禁止参加政府采购活动的单位。</w:t>
      </w:r>
    </w:p>
    <w:p>
      <w:pPr>
        <w:pStyle w:val="null3"/>
      </w:pPr>
      <w:r>
        <w:rPr>
          <w:rFonts w:ascii="仿宋_GB2312" w:hAnsi="仿宋_GB2312" w:cs="仿宋_GB2312" w:eastAsia="仿宋_GB2312"/>
        </w:rPr>
        <w:t>2、法定代表人或其授权委托书：法定代表人直接参加竞争性谈判的，须出具法定代表人身份证明书；法定代表人授权代表参加竞争性谈判的，须出具法定代表人授权委托书。</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七、竞争性谈判文件获取时间、方式及地址</w:t>
      </w:r>
    </w:p>
    <w:p>
      <w:pPr>
        <w:pStyle w:val="null3"/>
        <w:ind w:firstLine="480"/>
      </w:pPr>
      <w:r>
        <w:rPr>
          <w:rFonts w:ascii="仿宋_GB2312" w:hAnsi="仿宋_GB2312" w:cs="仿宋_GB2312" w:eastAsia="仿宋_GB2312"/>
        </w:rPr>
        <w:t>（一）谈判文件获取时间：详见采购公告或邀请书</w:t>
      </w:r>
    </w:p>
    <w:p>
      <w:pPr>
        <w:pStyle w:val="null3"/>
        <w:ind w:firstLine="480"/>
      </w:pPr>
      <w:r>
        <w:rPr>
          <w:rFonts w:ascii="仿宋_GB2312" w:hAnsi="仿宋_GB2312" w:cs="仿宋_GB2312" w:eastAsia="仿宋_GB2312"/>
        </w:rPr>
        <w:t xml:space="preserve"> （二）在谈判文件获取开始时间前，采购人或代理机构将本项目谈判文件上传至项目电子化交易系统，向供应商提供。供应商通过项目电子化交易系统获取谈判文件。成功获取谈判文件的，供应商将收到已获取谈判文件的回执函。未成功获取谈判文件的供应商，不得参与本次采购活动，不得对谈判文件提起质疑。</w:t>
      </w:r>
    </w:p>
    <w:p>
      <w:pPr>
        <w:pStyle w:val="null3"/>
        <w:ind w:firstLine="480"/>
      </w:pPr>
      <w:r>
        <w:rPr>
          <w:rFonts w:ascii="仿宋_GB2312" w:hAnsi="仿宋_GB2312" w:cs="仿宋_GB2312" w:eastAsia="仿宋_GB2312"/>
        </w:rPr>
        <w:t xml:space="preserve"> 成功获取谈判文件后，采购人或代理机构进行澄清或者修改的，澄清或者修改的内容可能影响响应文件编制的，采购人或代理机构将通过项目电子化交易系统发布澄清或者修改后的谈判文件，供应商应当重新获取谈判文件；澄清或者修改后的谈判文件发布日期距提交响应文件截止日期不足3个工作日的，采购人或代理机构顺延提响应标文件的截止时间。供应商未重新获取谈判文件或者未按照澄清或者修改后的谈判文件编制响应文件进行响应的，自行承担不利后果。</w:t>
      </w:r>
    </w:p>
    <w:p>
      <w:pPr>
        <w:pStyle w:val="null3"/>
        <w:jc w:val="left"/>
      </w:pPr>
      <w:r>
        <w:rPr>
          <w:rFonts w:ascii="仿宋_GB2312" w:hAnsi="仿宋_GB2312" w:cs="仿宋_GB2312" w:eastAsia="仿宋_GB2312"/>
        </w:rPr>
        <w:t>注：获取的谈判文件主体格式包括pdf、word两种格式版本，其中以pdf格式为准。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九、谈判方式</w:t>
      </w:r>
    </w:p>
    <w:p>
      <w:pPr>
        <w:pStyle w:val="null3"/>
        <w:ind w:firstLine="480"/>
      </w:pPr>
      <w:r>
        <w:rPr>
          <w:rFonts w:ascii="仿宋_GB2312" w:hAnsi="仿宋_GB2312" w:cs="仿宋_GB2312" w:eastAsia="仿宋_GB2312"/>
        </w:rPr>
        <w:t xml:space="preserve"> 本项目谈判小组与供应商通过项目电子化交易系统以在线方式进行谈判。谈判会议由谈判小组在线主持，供应商代表在线参加。供应商应随时关注项目电子化交易系统信息，及时参与在线谈判。供应商登录项目电子化交易系统，与谈判小组进行在线谈判、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西安文理学院（本级）</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西安市雁塔区科技六路1号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门老师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029-88258528</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陕西猷为项目管理有限公司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西安市莲湖区五星街1号万德商务中心7楼10702室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邢郁苗、薛淼鑫</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029-87400234</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采购包1：1,460,000.00元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最低评标价法(详见第六章)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如以联合体响应的，联合体各方均应当具备本谈判文件要求的资格条件和能力。</w:t>
            </w:r>
          </w:p>
          <w:p>
            <w:pPr>
              <w:pStyle w:val="null3"/>
            </w:pPr>
            <w:r>
              <w:rPr>
                <w:rFonts w:ascii="仿宋_GB2312" w:hAnsi="仿宋_GB2312" w:cs="仿宋_GB2312" w:eastAsia="仿宋_GB2312"/>
              </w:rPr>
              <w:t xml:space="preserve"> （1）联合体各方均应具有承担本谈判项目必备的条件，如相应的人力、物力、资金等。</w:t>
            </w:r>
          </w:p>
          <w:p>
            <w:pPr>
              <w:pStyle w:val="null3"/>
            </w:pPr>
            <w:r>
              <w:rPr>
                <w:rFonts w:ascii="仿宋_GB2312" w:hAnsi="仿宋_GB2312" w:cs="仿宋_GB2312" w:eastAsia="仿宋_GB2312"/>
              </w:rPr>
              <w:t xml:space="preserve"> （2）谈判文件对供应商资格条件有特殊要求的，联合体各个成员都应当具备规定的相应资格条件。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的不同供应商参加同一合同项下采购活动的，以其中通过资格审查、符合性审查且报价最低的参加评审；报价相同的，由采购人或者采购人委托谈判小组按照随机抽取方式确定一个参加谈判的供应商，其他响应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谈判过程中，谈判小组认为供应商报价明显低于其他通过符合性审查供应商的报价，有可能影响产品质量或者不能诚信履约的，谈判小组应当要求其在合理的时间内通过项目电子化交易系统进行书面说明，必要时提交相关证明材料。供应商提交的书面说明和相关证明材料，应当加盖供应商公章，在谈判小组要求的时间内通过项目电子化交易系统进行提交，否则提交的相关材料无效，视为不能证明其响应报价合理性。供应商不能证明其响应报价合理性的，谈判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谈判保证金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代理服务费收费标准：成交供应商在领取成交通知书时，向陕西猷为项目管理有限公司交纳招标代理服务费。服务费收费标准参照国家计委颁发的《招标代理服务收费管理暂行办法》（计价格〔2002〕1980 号）的有关规定执行。</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一、本竞争性谈判文件仅适用于本次竞争性谈判采购项目。</w:t>
      </w:r>
    </w:p>
    <w:p>
      <w:pPr>
        <w:pStyle w:val="null3"/>
        <w:ind w:firstLine="480"/>
      </w:pPr>
      <w:r>
        <w:rPr>
          <w:rFonts w:ascii="仿宋_GB2312" w:hAnsi="仿宋_GB2312" w:cs="仿宋_GB2312" w:eastAsia="仿宋_GB2312"/>
        </w:rPr>
        <w:t>二、本竞争性谈判文件的最终解释权由</w:t>
      </w:r>
      <w:r>
        <w:rPr>
          <w:rFonts w:ascii="仿宋_GB2312" w:hAnsi="仿宋_GB2312" w:cs="仿宋_GB2312" w:eastAsia="仿宋_GB2312"/>
        </w:rPr>
        <w:t>西安文理学院（本级）</w:t>
      </w:r>
      <w:r>
        <w:rPr>
          <w:rFonts w:ascii="仿宋_GB2312" w:hAnsi="仿宋_GB2312" w:cs="仿宋_GB2312" w:eastAsia="仿宋_GB2312"/>
        </w:rPr>
        <w:t>和</w:t>
      </w:r>
      <w:r>
        <w:rPr>
          <w:rFonts w:ascii="仿宋_GB2312" w:hAnsi="仿宋_GB2312" w:cs="仿宋_GB2312" w:eastAsia="仿宋_GB2312"/>
        </w:rPr>
        <w:t>陕西猷为项目管理有限公司</w:t>
      </w:r>
      <w:r>
        <w:rPr>
          <w:rFonts w:ascii="仿宋_GB2312" w:hAnsi="仿宋_GB2312" w:cs="仿宋_GB2312" w:eastAsia="仿宋_GB2312"/>
        </w:rPr>
        <w:t>享有。竞争性谈判文件中供应商参加本次政府采购活动应当具备的条件、技术清单、参数、商务及其他要求由</w:t>
      </w:r>
      <w:r>
        <w:rPr>
          <w:rFonts w:ascii="仿宋_GB2312" w:hAnsi="仿宋_GB2312" w:cs="仿宋_GB2312" w:eastAsia="仿宋_GB2312"/>
        </w:rPr>
        <w:t>西安文理学院（本级）</w:t>
      </w:r>
      <w:r>
        <w:rPr>
          <w:rFonts w:ascii="仿宋_GB2312" w:hAnsi="仿宋_GB2312" w:cs="仿宋_GB2312" w:eastAsia="仿宋_GB2312"/>
        </w:rPr>
        <w:t>负责解释。除上述竞争性谈判文件内容，其他内容由</w:t>
      </w:r>
      <w:r>
        <w:rPr>
          <w:rFonts w:ascii="仿宋_GB2312" w:hAnsi="仿宋_GB2312" w:cs="仿宋_GB2312" w:eastAsia="仿宋_GB2312"/>
        </w:rPr>
        <w:t>陕西猷为项目管理有限公司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一、“采购人”是指依法进行政府采购的各级国家机关、事业单位、团体组织。本次谈判的采购人是</w:t>
      </w:r>
      <w:r>
        <w:rPr>
          <w:rFonts w:ascii="仿宋_GB2312" w:hAnsi="仿宋_GB2312" w:cs="仿宋_GB2312" w:eastAsia="仿宋_GB2312"/>
        </w:rPr>
        <w:t>西安文理学院（本级）</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二、“供应商”是指在按照采购公告规定获取谈判文件，拟参加响应和向采购人提供货物、工程或服务的法人、其他组织或自然人。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三、“代理机构”是指集中采购机构和集中采购机构以外的代理机构。本项目的代理机构是</w:t>
      </w:r>
      <w:r>
        <w:rPr>
          <w:rFonts w:ascii="仿宋_GB2312" w:hAnsi="仿宋_GB2312" w:cs="仿宋_GB2312" w:eastAsia="仿宋_GB2312"/>
        </w:rPr>
        <w:t>陕西猷为项目管理有限公司</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五、“电子评审”是指通过项目电子化交易系统在线完成资格审查小组、谈判小组组建，开展资格和符合性审查、出具谈判报告、推荐成交候选供应商等活动。</w:t>
      </w:r>
    </w:p>
    <w:p>
      <w:pPr>
        <w:pStyle w:val="null3"/>
        <w:outlineLvl w:val="3"/>
      </w:pPr>
      <w:r>
        <w:rPr>
          <w:rFonts w:ascii="仿宋_GB2312" w:hAnsi="仿宋_GB2312" w:cs="仿宋_GB2312" w:eastAsia="仿宋_GB2312"/>
          <w:sz w:val="24"/>
          <w:b/>
        </w:rPr>
        <w:t>2.2.3响应费用（实质性要求）</w:t>
      </w:r>
    </w:p>
    <w:p>
      <w:pPr>
        <w:pStyle w:val="null3"/>
        <w:ind w:firstLine="480"/>
      </w:pPr>
      <w:r>
        <w:rPr>
          <w:rFonts w:ascii="仿宋_GB2312" w:hAnsi="仿宋_GB2312" w:cs="仿宋_GB2312" w:eastAsia="仿宋_GB2312"/>
        </w:rPr>
        <w:t>供应商应自行承担参加竞争性谈判采购活动的全部费用。</w:t>
      </w:r>
    </w:p>
    <w:p>
      <w:pPr>
        <w:pStyle w:val="null3"/>
        <w:outlineLvl w:val="2"/>
      </w:pPr>
      <w:r>
        <w:rPr>
          <w:rFonts w:ascii="仿宋_GB2312" w:hAnsi="仿宋_GB2312" w:cs="仿宋_GB2312" w:eastAsia="仿宋_GB2312"/>
          <w:sz w:val="28"/>
          <w:b/>
        </w:rPr>
        <w:t>2.3竞争性谈判文件</w:t>
      </w:r>
    </w:p>
    <w:p>
      <w:pPr>
        <w:pStyle w:val="null3"/>
        <w:outlineLvl w:val="3"/>
      </w:pPr>
      <w:r>
        <w:rPr>
          <w:rFonts w:ascii="仿宋_GB2312" w:hAnsi="仿宋_GB2312" w:cs="仿宋_GB2312" w:eastAsia="仿宋_GB2312"/>
          <w:sz w:val="24"/>
          <w:b/>
        </w:rPr>
        <w:t xml:space="preserve"> 2.3.1竞争性谈判文件的构成</w:t>
      </w:r>
    </w:p>
    <w:p>
      <w:pPr>
        <w:pStyle w:val="null3"/>
        <w:ind w:firstLine="480"/>
      </w:pPr>
      <w:r>
        <w:rPr>
          <w:rFonts w:ascii="仿宋_GB2312" w:hAnsi="仿宋_GB2312" w:cs="仿宋_GB2312" w:eastAsia="仿宋_GB2312"/>
        </w:rPr>
        <w:t xml:space="preserve"> 一、竞争性谈判文件是供应商准备响应文件和参加谈判的依据，同时也是评审的重要依据。竞争性谈判文件用以阐明采购项目所需的资质、技术清单、参数及报价等要求、谈判程序、有关规定和注意事项以及合同草案条款等。本竞争性谈判文件包括以下内容：</w:t>
      </w:r>
    </w:p>
    <w:p>
      <w:pPr>
        <w:pStyle w:val="null3"/>
        <w:ind w:firstLine="480"/>
      </w:pPr>
      <w:r>
        <w:rPr>
          <w:rFonts w:ascii="仿宋_GB2312" w:hAnsi="仿宋_GB2312" w:cs="仿宋_GB2312" w:eastAsia="仿宋_GB2312"/>
        </w:rPr>
        <w:t>（一）竞争性谈判邀请；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（三）谈判项目技术、服务、商务及其他要求；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（五）谈判过程中可实质性变动的内容；</w:t>
      </w:r>
    </w:p>
    <w:p>
      <w:pPr>
        <w:pStyle w:val="null3"/>
        <w:ind w:firstLine="480"/>
      </w:pPr>
      <w:r>
        <w:rPr>
          <w:rFonts w:ascii="仿宋_GB2312" w:hAnsi="仿宋_GB2312" w:cs="仿宋_GB2312" w:eastAsia="仿宋_GB2312"/>
        </w:rPr>
        <w:t>（六）谈判办法；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二、供应商应认真阅读和充分理解谈判文件中所有的事项、格式条款和规范要求。供应商没有对谈判文件全面作出实质性响应所产生的风险由供应商承担。</w:t>
      </w:r>
    </w:p>
    <w:p>
      <w:pPr>
        <w:pStyle w:val="null3"/>
        <w:outlineLvl w:val="3"/>
      </w:pPr>
      <w:r>
        <w:rPr>
          <w:rFonts w:ascii="仿宋_GB2312" w:hAnsi="仿宋_GB2312" w:cs="仿宋_GB2312" w:eastAsia="仿宋_GB2312"/>
          <w:sz w:val="24"/>
          <w:b/>
        </w:rPr>
        <w:t xml:space="preserve"> 2.3.2竞争性谈判文件的澄清和修改</w:t>
      </w:r>
    </w:p>
    <w:p>
      <w:pPr>
        <w:pStyle w:val="null3"/>
        <w:ind w:firstLine="480"/>
      </w:pPr>
      <w:r>
        <w:rPr>
          <w:rFonts w:ascii="仿宋_GB2312" w:hAnsi="仿宋_GB2312" w:cs="仿宋_GB2312" w:eastAsia="仿宋_GB2312"/>
        </w:rPr>
        <w:t>一、在提交首次响应文件截止时间前，采购人或者代理机构可以对已发出的谈判文件进行必要的澄清或者修改。</w:t>
      </w:r>
    </w:p>
    <w:p>
      <w:pPr>
        <w:pStyle w:val="null3"/>
      </w:pPr>
      <w:r>
        <w:rPr>
          <w:rFonts w:ascii="仿宋_GB2312" w:hAnsi="仿宋_GB2312" w:cs="仿宋_GB2312" w:eastAsia="仿宋_GB2312"/>
        </w:rPr>
        <w:t>二、澄清或者修改的内容为谈判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谈判文件，供应商应依据更正后的谈判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2.4.1响应文件的语言（实质性要求）</w:t>
      </w:r>
    </w:p>
    <w:p>
      <w:pPr>
        <w:pStyle w:val="null3"/>
        <w:ind w:firstLine="480"/>
      </w:pPr>
      <w:r>
        <w:rPr>
          <w:rFonts w:ascii="仿宋_GB2312" w:hAnsi="仿宋_GB2312" w:cs="仿宋_GB2312" w:eastAsia="仿宋_GB2312"/>
        </w:rPr>
        <w:t xml:space="preserve"> 一、供应商提交的响应文件以及供应商与谈判小组在谈判过程中的所有来往书面文件均须使用中文。响应文件中如附有外文资料，主要部分要对应翻译成中文并附在相关外文资料后面。未翻译的外文资料，谈判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除谈判文件中另有规定外，本项目均采用国家法定的计量单位。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四、构成本谈判文件的各组成部分，未经采购人书面同意，供应商不得擅自复印或用于非本谈判项目所需的其他目的。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供应商应按照谈判文件的规定和要求编制响应文件。</w:t>
      </w:r>
    </w:p>
    <w:p>
      <w:pPr>
        <w:pStyle w:val="null3"/>
        <w:ind w:firstLine="480"/>
        <w:jc w:val="left"/>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1.供应商应按照谈判文件第七章中提供的“响应文件格式”填写相关内容。</w:t>
      </w:r>
    </w:p>
    <w:p>
      <w:pPr>
        <w:pStyle w:val="null3"/>
        <w:ind w:firstLine="480"/>
      </w:pPr>
      <w:r>
        <w:rPr>
          <w:rFonts w:ascii="仿宋_GB2312" w:hAnsi="仿宋_GB2312" w:cs="仿宋_GB2312" w:eastAsia="仿宋_GB2312"/>
        </w:rPr>
        <w:t>2.对于没有格式要求的响应文件由供应商自行编写。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一、供应商的报价是其响应谈判项目要求的全部工作内容的价格体现，包括供应商完成本项目所需的一切费用。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谈判文件第六章谈判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一、响应文件应当根据谈判通知书进行编制。供应商应通过陕西省政府采购网-办事指南-CA及签章服务下载投标（响应）客户端，使用客户端编制响应文件。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二、供应商应按照客户端操作要求，对应谈判文件的每项资格、符合性要求，逐一对应进行响应；未逐一对应进行响应或者响应内容不符合谈判文件对应项的要求的，其响应文件作无效处理。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谈判文件澄清或者修改的内容可能影响响应文件编制的，代理机构将重新发布澄清或者修改后的谈判文件，供应商应重新获取澄清或者修改后的谈判文件，按照澄清或者修改后的谈判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2.5开启、资格审查、谈判和确定成交供应商</w:t>
      </w:r>
    </w:p>
    <w:p>
      <w:pPr>
        <w:pStyle w:val="null3"/>
        <w:outlineLvl w:val="3"/>
      </w:pPr>
      <w:r>
        <w:rPr>
          <w:rFonts w:ascii="仿宋_GB2312" w:hAnsi="仿宋_GB2312" w:cs="仿宋_GB2312" w:eastAsia="仿宋_GB2312"/>
          <w:sz w:val="24"/>
          <w:b/>
        </w:rPr>
        <w:t>2.5.1谈判开启程序</w:t>
      </w:r>
    </w:p>
    <w:p>
      <w:pPr>
        <w:pStyle w:val="null3"/>
        <w:ind w:firstLine="480"/>
      </w:pPr>
      <w:r>
        <w:rPr>
          <w:rFonts w:ascii="仿宋_GB2312" w:hAnsi="仿宋_GB2312" w:cs="仿宋_GB2312" w:eastAsia="仿宋_GB2312"/>
        </w:rPr>
        <w:t xml:space="preserve"> 一、本项目为竞争性谈判项目。网上开启的开始时间为响应文件提交截止时间。成功提交或解密电子响应文件的供应商不足3家的，不予开启，采购人或代理机构将终止采购活动。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二、谈判开启准备工作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详见谈判文件第四章。</w:t>
      </w:r>
    </w:p>
    <w:p>
      <w:pPr>
        <w:pStyle w:val="null3"/>
        <w:outlineLvl w:val="3"/>
      </w:pPr>
      <w:r>
        <w:rPr>
          <w:rFonts w:ascii="仿宋_GB2312" w:hAnsi="仿宋_GB2312" w:cs="仿宋_GB2312" w:eastAsia="仿宋_GB2312"/>
          <w:sz w:val="24"/>
          <w:b/>
        </w:rPr>
        <w:t>2.5.4谈判</w:t>
      </w:r>
    </w:p>
    <w:p>
      <w:pPr>
        <w:pStyle w:val="null3"/>
        <w:ind w:firstLine="480"/>
      </w:pPr>
      <w:r>
        <w:rPr>
          <w:rFonts w:ascii="仿宋_GB2312" w:hAnsi="仿宋_GB2312" w:cs="仿宋_GB2312" w:eastAsia="仿宋_GB2312"/>
        </w:rPr>
        <w:t>详见谈判文件第六章。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一、采购人或者谈判小组确认成交供应商后，代理机构在陕西省政府采购网发布成交结果公告、通过项目电子化交易系统发出成交通知书，成交供应商通过项目电子化交易系统获取成交通知书。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二、采购人和成交供应商签订的采购合同不得对谈判文件确定的事项以及成交供应商的响应文件作实质性修改。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谈判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2"/>
      </w:pPr>
      <w:r>
        <w:rPr>
          <w:rFonts w:ascii="仿宋_GB2312" w:hAnsi="仿宋_GB2312" w:cs="仿宋_GB2312" w:eastAsia="仿宋_GB2312"/>
          <w:sz w:val="28"/>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2"/>
      </w:pPr>
      <w:r>
        <w:rPr>
          <w:rFonts w:ascii="仿宋_GB2312" w:hAnsi="仿宋_GB2312" w:cs="仿宋_GB2312" w:eastAsia="仿宋_GB2312"/>
          <w:sz w:val="28"/>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按照相关规定执行</w:t>
      </w:r>
    </w:p>
    <w:p>
      <w:pPr>
        <w:pStyle w:val="null3"/>
        <w:outlineLvl w:val="2"/>
      </w:pPr>
      <w:r>
        <w:rPr>
          <w:rFonts w:ascii="仿宋_GB2312" w:hAnsi="仿宋_GB2312" w:cs="仿宋_GB2312" w:eastAsia="仿宋_GB2312"/>
          <w:sz w:val="28"/>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2.7.1谈判活动纪律要求</w:t>
      </w:r>
    </w:p>
    <w:p>
      <w:pPr>
        <w:pStyle w:val="null3"/>
        <w:ind w:firstLine="480"/>
      </w:pPr>
      <w:r>
        <w:rPr>
          <w:rFonts w:ascii="仿宋_GB2312" w:hAnsi="仿宋_GB2312" w:cs="仿宋_GB2312" w:eastAsia="仿宋_GB2312"/>
        </w:rPr>
        <w:t xml:space="preserve"> 采购人、代理机构应保证谈判活动在严格保密的情况下进行，采购人、代理机构、供应商和谈判小组成员应当严格遵守政府采购法律法规规章制度和本项目谈判文件以及代理机构现场管理规定，接受采购人委派的监督人员的监督，任何单位和个人不得非法干预和影响谈判过程和结果。</w:t>
      </w:r>
    </w:p>
    <w:p>
      <w:pPr>
        <w:pStyle w:val="null3"/>
        <w:ind w:firstLine="480"/>
      </w:pPr>
      <w:r>
        <w:rPr>
          <w:rFonts w:ascii="仿宋_GB2312" w:hAnsi="仿宋_GB2312" w:cs="仿宋_GB2312" w:eastAsia="仿宋_GB2312"/>
        </w:rPr>
        <w:t>对各供应商的商业秘密，谈判小组成员应予以保密，不得泄露给其他供应商。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供应商参加谈判不得有下列情形：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（二）不同供应商委托同一单位或者个人办理谈判事宜；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五、向采购人或代理机构、谈判小组成员行贿或者提供其他不正当利益；</w:t>
      </w:r>
    </w:p>
    <w:p>
      <w:pPr>
        <w:pStyle w:val="null3"/>
        <w:ind w:firstLine="480"/>
      </w:pPr>
      <w:r>
        <w:rPr>
          <w:rFonts w:ascii="仿宋_GB2312" w:hAnsi="仿宋_GB2312" w:cs="仿宋_GB2312" w:eastAsia="仿宋_GB2312"/>
        </w:rPr>
        <w:t>六、在谈判过程中与采购人或代理机构进行协商谈判；</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八、未按照谈判文件确定的事项签订政府采购合同；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陕西猷为项目管理有限公司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陕西猷为项目管理有限公司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陕西猷为项目管理有限公司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谈判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联系人：李有为</w:t>
      </w:r>
    </w:p>
    <w:p>
      <w:pPr>
        <w:pStyle w:val="null3"/>
      </w:pPr>
      <w:r>
        <w:rPr>
          <w:rFonts w:ascii="仿宋_GB2312" w:hAnsi="仿宋_GB2312" w:cs="仿宋_GB2312" w:eastAsia="仿宋_GB2312"/>
        </w:rPr>
        <w:t>联系电话：029-87400234</w:t>
      </w:r>
    </w:p>
    <w:p>
      <w:pPr>
        <w:pStyle w:val="null3"/>
      </w:pPr>
      <w:r>
        <w:rPr>
          <w:rFonts w:ascii="仿宋_GB2312" w:hAnsi="仿宋_GB2312" w:cs="仿宋_GB2312" w:eastAsia="仿宋_GB2312"/>
        </w:rPr>
        <w:t>地址：西安市莲湖区五星街1号万德商务中心7楼10702室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（五）针对质疑事项必要的证明材料（针对谈判文件提出的质疑，需提交从项目电子化交易系统获取的谈判文件回执单）。</w:t>
      </w:r>
    </w:p>
    <w:p>
      <w:pPr>
        <w:pStyle w:val="null3"/>
        <w:ind w:firstLine="480"/>
      </w:pPr>
      <w:r>
        <w:rPr>
          <w:rFonts w:ascii="仿宋_GB2312" w:hAnsi="仿宋_GB2312" w:cs="仿宋_GB2312" w:eastAsia="仿宋_GB2312"/>
        </w:rPr>
        <w:t>注：根据《中华人民共和国政府采购法》的规定，供应商质疑不得超出谈判文件、采购过程、采购结果的范围。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谈判项目技术、服务、商务及其他要求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西安文理学院实训室升级改造-旅游产业研究中心项目是对现有旅游专业实训室的功能拓展和内涵升级，是旅游管理专业一流建设的重要组成部分。项目采用软硬件一体化建设，引入文旅市场前沿的MR头盔，AI数字人训练一体机等设备，能够满足未来专业教学，人才发展与教师科研的多维需求。</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1,460,000.00</w:t>
      </w:r>
    </w:p>
    <w:p>
      <w:pPr>
        <w:pStyle w:val="null3"/>
      </w:pPr>
      <w:r>
        <w:rPr>
          <w:rFonts w:ascii="仿宋_GB2312" w:hAnsi="仿宋_GB2312" w:cs="仿宋_GB2312" w:eastAsia="仿宋_GB2312"/>
        </w:rPr>
        <w:t>采购包最高限价（元）: 1,460,000.00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西安文理学院实训室升级改造-旅游产业研究中心项目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1,460,000.00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标的名称：西安文理学院实训室升级改造-旅游产业研究中心项目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single"/>
                <w:left w:val="single"/>
                <w:bottom w:val="single"/>
                <w:right w:val="single"/>
                <w:insideH w:val="single"/>
                <w:insideV w:val="single"/>
              </w:tblBorders>
            </w:tblPr>
            <w:tblGrid>
              <w:gridCol w:w="174"/>
              <w:gridCol w:w="267"/>
              <w:gridCol w:w="1868"/>
              <w:gridCol w:w="239"/>
            </w:tblGrid>
            <w:tr>
              <w:tc>
                <w:tcPr>
                  <w:tcW w:type="dxa" w:w="174"/>
                  <w:tcBorders>
                    <w:top w:val="single" w:color="000000" w:sz="4"/>
                    <w:left w:val="single" w:color="000000" w:sz="4"/>
                    <w:bottom w:val="single" w:color="000000" w:sz="4"/>
                    <w:right w:val="none" w:color="000000" w:sz="4"/>
                  </w:tcBorders>
                  <w:tcMar>
                    <w:top w:type="dxa" w:w="0"/>
                    <w:left w:type="dxa" w:w="30"/>
                    <w:bottom w:type="dxa" w:w="0"/>
                    <w:right w:type="dxa" w:w="30"/>
                  </w:tcMar>
                </w:tcPr>
                <w:p>
                  <w:pPr>
                    <w:pStyle w:val="null3"/>
                    <w:spacing w:after="120"/>
                    <w:jc w:val="center"/>
                  </w:pPr>
                  <w:r>
                    <w:rPr>
                      <w:rFonts w:ascii="仿宋_GB2312" w:hAnsi="仿宋_GB2312" w:cs="仿宋_GB2312" w:eastAsia="仿宋_GB2312"/>
                      <w:sz w:val="21"/>
                    </w:rPr>
                    <w:t>序号</w:t>
                  </w:r>
                </w:p>
              </w:tc>
              <w:tc>
                <w:tcPr>
                  <w:tcW w:type="dxa" w:w="267"/>
                  <w:tcBorders>
                    <w:top w:val="single" w:color="000000" w:sz="4"/>
                    <w:left w:val="single" w:color="000000" w:sz="4"/>
                    <w:bottom w:val="single" w:color="000000" w:sz="4"/>
                    <w:right w:val="single" w:color="000000" w:sz="4"/>
                  </w:tcBorders>
                  <w:tcMar>
                    <w:top w:type="dxa" w:w="0"/>
                    <w:left w:type="dxa" w:w="30"/>
                    <w:bottom w:type="dxa" w:w="0"/>
                    <w:right w:type="dxa" w:w="30"/>
                  </w:tcMar>
                </w:tcPr>
                <w:p>
                  <w:pPr>
                    <w:pStyle w:val="null3"/>
                    <w:spacing w:after="120"/>
                    <w:jc w:val="center"/>
                  </w:pPr>
                  <w:r>
                    <w:rPr>
                      <w:rFonts w:ascii="仿宋_GB2312" w:hAnsi="仿宋_GB2312" w:cs="仿宋_GB2312" w:eastAsia="仿宋_GB2312"/>
                      <w:sz w:val="21"/>
                    </w:rPr>
                    <w:t>货物名称</w:t>
                  </w:r>
                </w:p>
              </w:tc>
              <w:tc>
                <w:tcPr>
                  <w:tcW w:type="dxa" w:w="1868"/>
                  <w:tcBorders>
                    <w:top w:val="single" w:color="000000" w:sz="4"/>
                    <w:left w:val="none" w:color="000000" w:sz="4"/>
                    <w:bottom w:val="single" w:color="000000" w:sz="4"/>
                    <w:right w:val="single" w:color="000000" w:sz="4"/>
                  </w:tcBorders>
                  <w:tcMar>
                    <w:top w:type="dxa" w:w="0"/>
                    <w:left w:type="dxa" w:w="30"/>
                    <w:bottom w:type="dxa" w:w="0"/>
                    <w:right w:type="dxa" w:w="30"/>
                  </w:tcMar>
                </w:tcPr>
                <w:p>
                  <w:pPr>
                    <w:pStyle w:val="null3"/>
                    <w:spacing w:after="120"/>
                    <w:jc w:val="center"/>
                  </w:pPr>
                  <w:r>
                    <w:rPr>
                      <w:rFonts w:ascii="仿宋_GB2312" w:hAnsi="仿宋_GB2312" w:cs="仿宋_GB2312" w:eastAsia="仿宋_GB2312"/>
                      <w:sz w:val="21"/>
                    </w:rPr>
                    <w:t>技术参数</w:t>
                  </w:r>
                </w:p>
              </w:tc>
              <w:tc>
                <w:tcPr>
                  <w:tcW w:type="dxa" w:w="239"/>
                  <w:tcBorders>
                    <w:top w:val="single" w:color="000000" w:sz="4"/>
                    <w:left w:val="none" w:color="000000" w:sz="4"/>
                    <w:bottom w:val="single" w:color="000000" w:sz="4"/>
                    <w:right w:val="single" w:color="000000" w:sz="4"/>
                  </w:tcBorders>
                  <w:tcMar>
                    <w:top w:type="dxa" w:w="0"/>
                    <w:left w:type="dxa" w:w="30"/>
                    <w:bottom w:type="dxa" w:w="0"/>
                    <w:right w:type="dxa" w:w="30"/>
                  </w:tcMar>
                </w:tcPr>
                <w:p>
                  <w:pPr>
                    <w:pStyle w:val="null3"/>
                    <w:spacing w:after="120"/>
                    <w:jc w:val="center"/>
                  </w:pPr>
                  <w:r>
                    <w:rPr>
                      <w:rFonts w:ascii="仿宋_GB2312" w:hAnsi="仿宋_GB2312" w:cs="仿宋_GB2312" w:eastAsia="仿宋_GB2312"/>
                      <w:sz w:val="21"/>
                    </w:rPr>
                    <w:t>数量</w:t>
                  </w:r>
                </w:p>
              </w:tc>
            </w:tr>
            <w:tr>
              <w:tc>
                <w:tcPr>
                  <w:tcW w:type="dxa" w:w="174"/>
                  <w:tcBorders>
                    <w:top w:val="none" w:color="000000" w:sz="4"/>
                    <w:left w:val="single" w:color="000000" w:sz="4"/>
                    <w:bottom w:val="single" w:color="000000" w:sz="4"/>
                    <w:right w:val="none" w:color="000000" w:sz="4"/>
                  </w:tcBorders>
                  <w:tcMar>
                    <w:top w:type="dxa" w:w="0"/>
                    <w:left w:type="dxa" w:w="30"/>
                    <w:bottom w:type="dxa" w:w="0"/>
                    <w:right w:type="dxa" w:w="30"/>
                  </w:tcMar>
                </w:tcPr>
                <w:p>
                  <w:pPr>
                    <w:pStyle w:val="null3"/>
                    <w:numPr>
                      <w:ilvl w:val="0"/>
                      <w:numId w:val="1"/>
                    </w:numPr>
                    <w:spacing w:after="120"/>
                    <w:jc w:val="center"/>
                  </w:pPr>
                </w:p>
              </w:tc>
              <w:tc>
                <w:tcPr>
                  <w:tcW w:type="dxa" w:w="267"/>
                  <w:tcBorders>
                    <w:top w:val="none" w:color="000000" w:sz="4"/>
                    <w:left w:val="single" w:color="000000" w:sz="4"/>
                    <w:bottom w:val="single" w:color="000000" w:sz="4"/>
                    <w:right w:val="single" w:color="000000" w:sz="4"/>
                  </w:tcBorders>
                  <w:tcMar>
                    <w:top w:type="dxa" w:w="0"/>
                    <w:left w:type="dxa" w:w="30"/>
                    <w:bottom w:type="dxa" w:w="0"/>
                    <w:right w:type="dxa" w:w="30"/>
                  </w:tcMar>
                </w:tcPr>
                <w:p>
                  <w:pPr>
                    <w:pStyle w:val="null3"/>
                    <w:spacing w:after="120"/>
                    <w:jc w:val="center"/>
                  </w:pPr>
                  <w:r>
                    <w:rPr>
                      <w:rFonts w:ascii="仿宋_GB2312" w:hAnsi="仿宋_GB2312" w:cs="仿宋_GB2312" w:eastAsia="仿宋_GB2312"/>
                      <w:sz w:val="21"/>
                    </w:rPr>
                    <w:t>全彩LED大屏</w:t>
                  </w:r>
                </w:p>
              </w:tc>
              <w:tc>
                <w:tcPr>
                  <w:tcW w:type="dxa" w:w="1868"/>
                  <w:tcBorders>
                    <w:top w:val="none" w:color="000000" w:sz="4"/>
                    <w:left w:val="none" w:color="000000" w:sz="4"/>
                    <w:bottom w:val="single" w:color="000000" w:sz="4"/>
                    <w:right w:val="single" w:color="000000" w:sz="4"/>
                  </w:tcBorders>
                  <w:tcMar>
                    <w:top w:type="dxa" w:w="0"/>
                    <w:left w:type="dxa" w:w="30"/>
                    <w:bottom w:type="dxa" w:w="0"/>
                    <w:right w:type="dxa" w:w="30"/>
                  </w:tcMar>
                </w:tcPr>
                <w:p>
                  <w:pPr>
                    <w:pStyle w:val="null3"/>
                    <w:spacing w:after="120"/>
                    <w:jc w:val="both"/>
                  </w:pPr>
                  <w:r>
                    <w:rPr>
                      <w:rFonts w:ascii="仿宋_GB2312" w:hAnsi="仿宋_GB2312" w:cs="仿宋_GB2312" w:eastAsia="仿宋_GB2312"/>
                      <w:sz w:val="21"/>
                    </w:rPr>
                    <w:t>一、模组尺寸</w:t>
                  </w:r>
                </w:p>
                <w:p>
                  <w:pPr>
                    <w:pStyle w:val="null3"/>
                    <w:spacing w:after="120"/>
                    <w:jc w:val="both"/>
                  </w:pPr>
                  <w:r>
                    <w:rPr>
                      <w:rFonts w:ascii="仿宋_GB2312" w:hAnsi="仿宋_GB2312" w:cs="仿宋_GB2312" w:eastAsia="仿宋_GB2312"/>
                      <w:sz w:val="21"/>
                    </w:rPr>
                    <w:t>1.</w:t>
                  </w:r>
                  <w:r>
                    <w:rPr>
                      <w:rFonts w:ascii="仿宋_GB2312" w:hAnsi="仿宋_GB2312" w:cs="仿宋_GB2312" w:eastAsia="仿宋_GB2312"/>
                      <w:sz w:val="21"/>
                    </w:rPr>
                    <w:t>点间距：</w:t>
                  </w:r>
                  <w:r>
                    <w:rPr>
                      <w:rFonts w:ascii="仿宋_GB2312" w:hAnsi="仿宋_GB2312" w:cs="仿宋_GB2312" w:eastAsia="仿宋_GB2312"/>
                      <w:sz w:val="21"/>
                    </w:rPr>
                    <w:t>≤</w:t>
                  </w:r>
                  <w:r>
                    <w:rPr>
                      <w:rFonts w:ascii="仿宋_GB2312" w:hAnsi="仿宋_GB2312" w:cs="仿宋_GB2312" w:eastAsia="仿宋_GB2312"/>
                      <w:sz w:val="21"/>
                    </w:rPr>
                    <w:t>1.25mm</w:t>
                  </w:r>
                </w:p>
                <w:p>
                  <w:pPr>
                    <w:pStyle w:val="null3"/>
                    <w:spacing w:after="120"/>
                    <w:jc w:val="both"/>
                  </w:pPr>
                  <w:r>
                    <w:rPr>
                      <w:rFonts w:ascii="仿宋_GB2312" w:hAnsi="仿宋_GB2312" w:cs="仿宋_GB2312" w:eastAsia="仿宋_GB2312"/>
                      <w:sz w:val="21"/>
                    </w:rPr>
                    <w:t>2.</w:t>
                  </w:r>
                  <w:r>
                    <w:rPr>
                      <w:rFonts w:ascii="仿宋_GB2312" w:hAnsi="仿宋_GB2312" w:cs="仿宋_GB2312" w:eastAsia="仿宋_GB2312"/>
                      <w:sz w:val="21"/>
                    </w:rPr>
                    <w:t xml:space="preserve">模组尺寸(宽×高)：320mm×160mm  </w:t>
                  </w:r>
                </w:p>
                <w:p>
                  <w:pPr>
                    <w:pStyle w:val="null3"/>
                    <w:spacing w:after="120"/>
                    <w:jc w:val="both"/>
                  </w:pPr>
                  <w:r>
                    <w:rPr>
                      <w:rFonts w:ascii="仿宋_GB2312" w:hAnsi="仿宋_GB2312" w:cs="仿宋_GB2312" w:eastAsia="仿宋_GB2312"/>
                      <w:sz w:val="21"/>
                    </w:rPr>
                    <w:t>3.</w:t>
                  </w:r>
                  <w:r>
                    <w:rPr>
                      <w:rFonts w:ascii="仿宋_GB2312" w:hAnsi="仿宋_GB2312" w:cs="仿宋_GB2312" w:eastAsia="仿宋_GB2312"/>
                      <w:sz w:val="21"/>
                    </w:rPr>
                    <w:t xml:space="preserve">亮度：≥800cd/㎡；平视角/垂直视角 178°/178°  </w:t>
                  </w:r>
                </w:p>
                <w:p>
                  <w:pPr>
                    <w:pStyle w:val="null3"/>
                    <w:spacing w:after="120"/>
                    <w:jc w:val="both"/>
                  </w:pPr>
                  <w:r>
                    <w:rPr>
                      <w:rFonts w:ascii="仿宋_GB2312" w:hAnsi="仿宋_GB2312" w:cs="仿宋_GB2312" w:eastAsia="仿宋_GB2312"/>
                      <w:sz w:val="21"/>
                    </w:rPr>
                    <w:t>4.</w:t>
                  </w:r>
                  <w:r>
                    <w:rPr>
                      <w:rFonts w:ascii="仿宋_GB2312" w:hAnsi="仿宋_GB2312" w:cs="仿宋_GB2312" w:eastAsia="仿宋_GB2312"/>
                      <w:sz w:val="21"/>
                    </w:rPr>
                    <w:t>最高对比度：≥8000:1</w:t>
                  </w:r>
                </w:p>
                <w:p>
                  <w:pPr>
                    <w:pStyle w:val="null3"/>
                    <w:spacing w:after="120"/>
                    <w:jc w:val="both"/>
                  </w:pPr>
                  <w:r>
                    <w:rPr>
                      <w:rFonts w:ascii="仿宋_GB2312" w:hAnsi="仿宋_GB2312" w:cs="仿宋_GB2312" w:eastAsia="仿宋_GB2312"/>
                      <w:sz w:val="21"/>
                    </w:rPr>
                    <w:t>二、专用电源</w:t>
                  </w:r>
                </w:p>
                <w:p>
                  <w:pPr>
                    <w:pStyle w:val="null3"/>
                    <w:spacing w:after="120"/>
                    <w:jc w:val="both"/>
                  </w:pPr>
                  <w:r>
                    <w:rPr>
                      <w:rFonts w:ascii="仿宋_GB2312" w:hAnsi="仿宋_GB2312" w:cs="仿宋_GB2312" w:eastAsia="仿宋_GB2312"/>
                      <w:sz w:val="21"/>
                    </w:rPr>
                    <w:t>1.</w:t>
                  </w:r>
                  <w:r>
                    <w:rPr>
                      <w:rFonts w:ascii="仿宋_GB2312" w:hAnsi="仿宋_GB2312" w:cs="仿宋_GB2312" w:eastAsia="仿宋_GB2312"/>
                      <w:sz w:val="21"/>
                    </w:rPr>
                    <w:t>开关电源具有过温保护，过压保护、短路保护、超载保护等功能；</w:t>
                  </w:r>
                </w:p>
                <w:p>
                  <w:pPr>
                    <w:pStyle w:val="null3"/>
                    <w:spacing w:after="120"/>
                    <w:jc w:val="both"/>
                  </w:pPr>
                  <w:r>
                    <w:rPr>
                      <w:rFonts w:ascii="仿宋_GB2312" w:hAnsi="仿宋_GB2312" w:cs="仿宋_GB2312" w:eastAsia="仿宋_GB2312"/>
                      <w:sz w:val="21"/>
                    </w:rPr>
                    <w:t>2.</w:t>
                  </w:r>
                  <w:r>
                    <w:rPr>
                      <w:rFonts w:ascii="仿宋_GB2312" w:hAnsi="仿宋_GB2312" w:cs="仿宋_GB2312" w:eastAsia="仿宋_GB2312"/>
                      <w:sz w:val="21"/>
                    </w:rPr>
                    <w:t>具有抗干扰性保证LED显示屏控制电路稳定工作,并且降低LED的光衰</w:t>
                  </w:r>
                </w:p>
                <w:p>
                  <w:pPr>
                    <w:pStyle w:val="null3"/>
                    <w:spacing w:after="120"/>
                    <w:jc w:val="both"/>
                  </w:pPr>
                  <w:r>
                    <w:rPr>
                      <w:rFonts w:ascii="仿宋_GB2312" w:hAnsi="仿宋_GB2312" w:cs="仿宋_GB2312" w:eastAsia="仿宋_GB2312"/>
                      <w:sz w:val="21"/>
                    </w:rPr>
                    <w:t>三、接收卡</w:t>
                  </w:r>
                </w:p>
                <w:p>
                  <w:pPr>
                    <w:pStyle w:val="null3"/>
                    <w:spacing w:after="120"/>
                    <w:jc w:val="both"/>
                  </w:pPr>
                  <w:r>
                    <w:rPr>
                      <w:rFonts w:ascii="仿宋_GB2312" w:hAnsi="仿宋_GB2312" w:cs="仿宋_GB2312" w:eastAsia="仿宋_GB2312"/>
                      <w:sz w:val="21"/>
                    </w:rPr>
                    <w:t>1.</w:t>
                  </w:r>
                  <w:r>
                    <w:rPr>
                      <w:rFonts w:ascii="仿宋_GB2312" w:hAnsi="仿宋_GB2312" w:cs="仿宋_GB2312" w:eastAsia="仿宋_GB2312"/>
                      <w:sz w:val="21"/>
                    </w:rPr>
                    <w:t>单卡带载：≥192*1024像素；</w:t>
                  </w:r>
                </w:p>
                <w:p>
                  <w:pPr>
                    <w:pStyle w:val="null3"/>
                    <w:spacing w:after="120"/>
                    <w:jc w:val="both"/>
                  </w:pPr>
                  <w:r>
                    <w:rPr>
                      <w:rFonts w:ascii="仿宋_GB2312" w:hAnsi="仿宋_GB2312" w:cs="仿宋_GB2312" w:eastAsia="仿宋_GB2312"/>
                      <w:sz w:val="21"/>
                    </w:rPr>
                    <w:t>2.</w:t>
                  </w:r>
                  <w:r>
                    <w:rPr>
                      <w:rFonts w:ascii="仿宋_GB2312" w:hAnsi="仿宋_GB2312" w:cs="仿宋_GB2312" w:eastAsia="仿宋_GB2312"/>
                      <w:sz w:val="21"/>
                    </w:rPr>
                    <w:t>集成≥12路HUB75接口；</w:t>
                  </w:r>
                </w:p>
                <w:p>
                  <w:pPr>
                    <w:pStyle w:val="null3"/>
                    <w:spacing w:after="120"/>
                    <w:jc w:val="both"/>
                  </w:pPr>
                  <w:r>
                    <w:rPr>
                      <w:rFonts w:ascii="仿宋_GB2312" w:hAnsi="仿宋_GB2312" w:cs="仿宋_GB2312" w:eastAsia="仿宋_GB2312"/>
                      <w:sz w:val="21"/>
                    </w:rPr>
                    <w:t>3.</w:t>
                  </w:r>
                  <w:r>
                    <w:rPr>
                      <w:rFonts w:ascii="仿宋_GB2312" w:hAnsi="仿宋_GB2312" w:cs="仿宋_GB2312" w:eastAsia="仿宋_GB2312"/>
                      <w:sz w:val="21"/>
                    </w:rPr>
                    <w:t>支持静态到64扫之间的任意扫描类型；</w:t>
                  </w:r>
                </w:p>
                <w:p>
                  <w:pPr>
                    <w:pStyle w:val="null3"/>
                    <w:spacing w:after="120"/>
                    <w:jc w:val="both"/>
                  </w:pPr>
                  <w:r>
                    <w:rPr>
                      <w:rFonts w:ascii="仿宋_GB2312" w:hAnsi="仿宋_GB2312" w:cs="仿宋_GB2312" w:eastAsia="仿宋_GB2312"/>
                      <w:sz w:val="21"/>
                    </w:rPr>
                    <w:t>四、视频处理器</w:t>
                  </w:r>
                </w:p>
                <w:p>
                  <w:pPr>
                    <w:pStyle w:val="null3"/>
                    <w:spacing w:after="120"/>
                    <w:jc w:val="both"/>
                  </w:pPr>
                  <w:r>
                    <w:rPr>
                      <w:rFonts w:ascii="仿宋_GB2312" w:hAnsi="仿宋_GB2312" w:cs="仿宋_GB2312" w:eastAsia="仿宋_GB2312"/>
                      <w:sz w:val="21"/>
                    </w:rPr>
                    <w:t>1.</w:t>
                  </w:r>
                  <w:r>
                    <w:rPr>
                      <w:rFonts w:ascii="仿宋_GB2312" w:hAnsi="仿宋_GB2312" w:cs="仿宋_GB2312" w:eastAsia="仿宋_GB2312"/>
                      <w:sz w:val="21"/>
                    </w:rPr>
                    <w:t>支持≥2 路 HDMI、1 路 DVI、1 路 VGA、1 路 CVBS 信号输入，任意切换；</w:t>
                  </w:r>
                </w:p>
                <w:p>
                  <w:pPr>
                    <w:pStyle w:val="null3"/>
                    <w:spacing w:after="120"/>
                    <w:jc w:val="both"/>
                  </w:pPr>
                  <w:r>
                    <w:rPr>
                      <w:rFonts w:ascii="仿宋_GB2312" w:hAnsi="仿宋_GB2312" w:cs="仿宋_GB2312" w:eastAsia="仿宋_GB2312"/>
                      <w:sz w:val="21"/>
                    </w:rPr>
                    <w:t>2.</w:t>
                  </w:r>
                  <w:r>
                    <w:rPr>
                      <w:rFonts w:ascii="仿宋_GB2312" w:hAnsi="仿宋_GB2312" w:cs="仿宋_GB2312" w:eastAsia="仿宋_GB2312"/>
                      <w:sz w:val="21"/>
                    </w:rPr>
                    <w:t>支持≥1 路 USB 输入，支持直接播放 U 盘根目录下各种主流格式的视频和图片，支持≥1080P 高清视频播放；</w:t>
                  </w:r>
                </w:p>
                <w:p>
                  <w:pPr>
                    <w:pStyle w:val="null3"/>
                    <w:spacing w:after="120"/>
                    <w:jc w:val="both"/>
                  </w:pPr>
                  <w:r>
                    <w:rPr>
                      <w:rFonts w:ascii="仿宋_GB2312" w:hAnsi="仿宋_GB2312" w:cs="仿宋_GB2312" w:eastAsia="仿宋_GB2312"/>
                      <w:sz w:val="21"/>
                    </w:rPr>
                    <w:t>3.</w:t>
                  </w:r>
                  <w:r>
                    <w:rPr>
                      <w:rFonts w:ascii="仿宋_GB2312" w:hAnsi="仿宋_GB2312" w:cs="仿宋_GB2312" w:eastAsia="仿宋_GB2312"/>
                      <w:sz w:val="21"/>
                    </w:rPr>
                    <w:t>支持≥ 1 路 TRS 3.5mm 标准双声道音频输入和 HDMI 音频输入。</w:t>
                  </w:r>
                </w:p>
                <w:p>
                  <w:pPr>
                    <w:pStyle w:val="null3"/>
                    <w:spacing w:after="120"/>
                    <w:jc w:val="both"/>
                  </w:pPr>
                  <w:r>
                    <w:rPr>
                      <w:rFonts w:ascii="仿宋_GB2312" w:hAnsi="仿宋_GB2312" w:cs="仿宋_GB2312" w:eastAsia="仿宋_GB2312"/>
                      <w:sz w:val="21"/>
                    </w:rPr>
                    <w:t>4.</w:t>
                  </w:r>
                  <w:r>
                    <w:rPr>
                      <w:rFonts w:ascii="仿宋_GB2312" w:hAnsi="仿宋_GB2312" w:cs="仿宋_GB2312" w:eastAsia="仿宋_GB2312"/>
                      <w:sz w:val="21"/>
                    </w:rPr>
                    <w:t>标配≥4路千兆网口，直接级联接收卡；</w:t>
                  </w:r>
                </w:p>
                <w:p>
                  <w:pPr>
                    <w:pStyle w:val="null3"/>
                    <w:spacing w:after="120"/>
                    <w:jc w:val="both"/>
                  </w:pPr>
                  <w:r>
                    <w:rPr>
                      <w:rFonts w:ascii="仿宋_GB2312" w:hAnsi="仿宋_GB2312" w:cs="仿宋_GB2312" w:eastAsia="仿宋_GB2312"/>
                      <w:sz w:val="21"/>
                    </w:rPr>
                    <w:t>5.</w:t>
                  </w:r>
                  <w:r>
                    <w:rPr>
                      <w:rFonts w:ascii="仿宋_GB2312" w:hAnsi="仿宋_GB2312" w:cs="仿宋_GB2312" w:eastAsia="仿宋_GB2312"/>
                      <w:sz w:val="21"/>
                    </w:rPr>
                    <w:t>≥1路TRS 3.5mm 标准双声道音频输出。</w:t>
                  </w:r>
                </w:p>
                <w:p>
                  <w:pPr>
                    <w:pStyle w:val="null3"/>
                    <w:spacing w:after="120"/>
                    <w:jc w:val="both"/>
                  </w:pPr>
                  <w:r>
                    <w:rPr>
                      <w:rFonts w:ascii="仿宋_GB2312" w:hAnsi="仿宋_GB2312" w:cs="仿宋_GB2312" w:eastAsia="仿宋_GB2312"/>
                      <w:sz w:val="21"/>
                    </w:rPr>
                    <w:t>五、控制软件</w:t>
                  </w:r>
                </w:p>
                <w:p>
                  <w:pPr>
                    <w:pStyle w:val="null3"/>
                    <w:spacing w:after="120"/>
                    <w:jc w:val="both"/>
                  </w:pPr>
                  <w:r>
                    <w:rPr>
                      <w:rFonts w:ascii="仿宋_GB2312" w:hAnsi="仿宋_GB2312" w:cs="仿宋_GB2312" w:eastAsia="仿宋_GB2312"/>
                      <w:sz w:val="21"/>
                    </w:rPr>
                    <w:t>1.</w:t>
                  </w:r>
                  <w:r>
                    <w:rPr>
                      <w:rFonts w:ascii="仿宋_GB2312" w:hAnsi="仿宋_GB2312" w:cs="仿宋_GB2312" w:eastAsia="仿宋_GB2312"/>
                      <w:sz w:val="21"/>
                    </w:rPr>
                    <w:t>支持视频、音频、图像、文字、Flash、Gif 等形式的媒体文件播放；</w:t>
                  </w:r>
                </w:p>
                <w:p>
                  <w:pPr>
                    <w:pStyle w:val="null3"/>
                    <w:spacing w:after="120"/>
                    <w:jc w:val="both"/>
                  </w:pPr>
                  <w:r>
                    <w:rPr>
                      <w:rFonts w:ascii="仿宋_GB2312" w:hAnsi="仿宋_GB2312" w:cs="仿宋_GB2312" w:eastAsia="仿宋_GB2312"/>
                      <w:sz w:val="21"/>
                    </w:rPr>
                    <w:t>2.</w:t>
                  </w:r>
                  <w:r>
                    <w:rPr>
                      <w:rFonts w:ascii="仿宋_GB2312" w:hAnsi="仿宋_GB2312" w:cs="仿宋_GB2312" w:eastAsia="仿宋_GB2312"/>
                      <w:sz w:val="21"/>
                    </w:rPr>
                    <w:t>支持办公软件的显示，软件提供丰富灵活的视频切换功能、分区特效，以及三维特效动画。</w:t>
                  </w:r>
                </w:p>
              </w:tc>
              <w:tc>
                <w:tcPr>
                  <w:tcW w:type="dxa" w:w="239"/>
                  <w:tcBorders>
                    <w:top w:val="none" w:color="000000" w:sz="4"/>
                    <w:left w:val="none" w:color="000000" w:sz="4"/>
                    <w:bottom w:val="single" w:color="000000" w:sz="4"/>
                    <w:right w:val="single" w:color="000000" w:sz="4"/>
                  </w:tcBorders>
                  <w:tcMar>
                    <w:top w:type="dxa" w:w="0"/>
                    <w:left w:type="dxa" w:w="30"/>
                    <w:bottom w:type="dxa" w:w="0"/>
                    <w:right w:type="dxa" w:w="30"/>
                  </w:tcMar>
                </w:tcPr>
                <w:p>
                  <w:pPr>
                    <w:pStyle w:val="null3"/>
                    <w:spacing w:after="120"/>
                    <w:jc w:val="center"/>
                  </w:pPr>
                  <w:r>
                    <w:rPr>
                      <w:rFonts w:ascii="仿宋_GB2312" w:hAnsi="仿宋_GB2312" w:cs="仿宋_GB2312" w:eastAsia="仿宋_GB2312"/>
                      <w:sz w:val="21"/>
                    </w:rPr>
                    <w:t>1</w:t>
                  </w:r>
                  <w:r>
                    <w:rPr>
                      <w:rFonts w:ascii="仿宋_GB2312" w:hAnsi="仿宋_GB2312" w:cs="仿宋_GB2312" w:eastAsia="仿宋_GB2312"/>
                      <w:sz w:val="21"/>
                    </w:rPr>
                    <w:t>套</w:t>
                  </w:r>
                </w:p>
              </w:tc>
            </w:tr>
            <w:tr>
              <w:tc>
                <w:tcPr>
                  <w:tcW w:type="dxa" w:w="174"/>
                  <w:tcBorders>
                    <w:top w:val="none" w:color="000000" w:sz="4"/>
                    <w:left w:val="single" w:color="000000" w:sz="4"/>
                    <w:bottom w:val="single" w:color="000000" w:sz="4"/>
                    <w:right w:val="none" w:color="000000" w:sz="4"/>
                  </w:tcBorders>
                  <w:tcMar>
                    <w:top w:type="dxa" w:w="0"/>
                    <w:left w:type="dxa" w:w="30"/>
                    <w:bottom w:type="dxa" w:w="0"/>
                    <w:right w:type="dxa" w:w="30"/>
                  </w:tcMar>
                </w:tcPr>
                <w:p>
                  <w:pPr>
                    <w:pStyle w:val="null3"/>
                    <w:numPr>
                      <w:ilvl w:val="0"/>
                      <w:numId w:val="1"/>
                    </w:numPr>
                    <w:spacing w:after="120"/>
                    <w:jc w:val="center"/>
                  </w:pPr>
                </w:p>
              </w:tc>
              <w:tc>
                <w:tcPr>
                  <w:tcW w:type="dxa" w:w="267"/>
                  <w:tcBorders>
                    <w:top w:val="none" w:color="000000" w:sz="4"/>
                    <w:left w:val="single" w:color="000000" w:sz="4"/>
                    <w:bottom w:val="single" w:color="000000" w:sz="4"/>
                    <w:right w:val="single" w:color="000000" w:sz="4"/>
                  </w:tcBorders>
                  <w:tcMar>
                    <w:top w:type="dxa" w:w="0"/>
                    <w:left w:type="dxa" w:w="30"/>
                    <w:bottom w:type="dxa" w:w="0"/>
                    <w:right w:type="dxa" w:w="30"/>
                  </w:tcMar>
                </w:tcPr>
                <w:p>
                  <w:pPr>
                    <w:pStyle w:val="null3"/>
                    <w:spacing w:after="120"/>
                    <w:jc w:val="center"/>
                  </w:pPr>
                  <w:r>
                    <w:rPr>
                      <w:rFonts w:ascii="仿宋_GB2312" w:hAnsi="仿宋_GB2312" w:cs="仿宋_GB2312" w:eastAsia="仿宋_GB2312"/>
                      <w:sz w:val="21"/>
                    </w:rPr>
                    <w:t>交互智能平板</w:t>
                  </w:r>
                </w:p>
              </w:tc>
              <w:tc>
                <w:tcPr>
                  <w:tcW w:type="dxa" w:w="1868"/>
                  <w:tcBorders>
                    <w:top w:val="none" w:color="000000" w:sz="4"/>
                    <w:left w:val="none" w:color="000000" w:sz="4"/>
                    <w:bottom w:val="single" w:color="000000" w:sz="4"/>
                    <w:right w:val="single" w:color="000000" w:sz="4"/>
                  </w:tcBorders>
                  <w:tcMar>
                    <w:top w:type="dxa" w:w="0"/>
                    <w:left w:type="dxa" w:w="30"/>
                    <w:bottom w:type="dxa" w:w="0"/>
                    <w:right w:type="dxa" w:w="30"/>
                  </w:tcMar>
                </w:tcPr>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显示屏：≥65寸液晶显示屏</w:t>
                  </w:r>
                </w:p>
                <w:p>
                  <w:pPr>
                    <w:pStyle w:val="null3"/>
                    <w:jc w:val="left"/>
                  </w:pPr>
                  <w:r>
                    <w:rPr>
                      <w:rFonts w:ascii="仿宋_GB2312" w:hAnsi="仿宋_GB2312" w:cs="仿宋_GB2312" w:eastAsia="仿宋_GB2312"/>
                      <w:sz w:val="21"/>
                    </w:rPr>
                    <w:t>2.</w:t>
                  </w:r>
                  <w:r>
                    <w:rPr>
                      <w:rFonts w:ascii="仿宋_GB2312" w:hAnsi="仿宋_GB2312" w:cs="仿宋_GB2312" w:eastAsia="仿宋_GB2312"/>
                      <w:sz w:val="21"/>
                    </w:rPr>
                    <w:t>亮度：≥350cd/m²</w:t>
                  </w:r>
                </w:p>
                <w:p>
                  <w:pPr>
                    <w:pStyle w:val="null3"/>
                    <w:jc w:val="left"/>
                  </w:pPr>
                  <w:r>
                    <w:rPr>
                      <w:rFonts w:ascii="仿宋_GB2312" w:hAnsi="仿宋_GB2312" w:cs="仿宋_GB2312" w:eastAsia="仿宋_GB2312"/>
                      <w:sz w:val="21"/>
                    </w:rPr>
                    <w:t>3.</w:t>
                  </w:r>
                  <w:r>
                    <w:rPr>
                      <w:rFonts w:ascii="仿宋_GB2312" w:hAnsi="仿宋_GB2312" w:cs="仿宋_GB2312" w:eastAsia="仿宋_GB2312"/>
                      <w:sz w:val="21"/>
                    </w:rPr>
                    <w:t>屏对比度：≥4000:1</w:t>
                  </w:r>
                </w:p>
                <w:p>
                  <w:pPr>
                    <w:pStyle w:val="null3"/>
                    <w:jc w:val="left"/>
                  </w:pPr>
                  <w:r>
                    <w:rPr>
                      <w:rFonts w:ascii="仿宋_GB2312" w:hAnsi="仿宋_GB2312" w:cs="仿宋_GB2312" w:eastAsia="仿宋_GB2312"/>
                      <w:sz w:val="21"/>
                    </w:rPr>
                    <w:t>4.</w:t>
                  </w:r>
                  <w:r>
                    <w:rPr>
                      <w:rFonts w:ascii="仿宋_GB2312" w:hAnsi="仿宋_GB2312" w:cs="仿宋_GB2312" w:eastAsia="仿宋_GB2312"/>
                      <w:sz w:val="21"/>
                    </w:rPr>
                    <w:t xml:space="preserve">响应时间：≤8ms </w:t>
                  </w:r>
                </w:p>
                <w:p>
                  <w:pPr>
                    <w:pStyle w:val="null3"/>
                    <w:jc w:val="left"/>
                  </w:pPr>
                  <w:r>
                    <w:rPr>
                      <w:rFonts w:ascii="仿宋_GB2312" w:hAnsi="仿宋_GB2312" w:cs="仿宋_GB2312" w:eastAsia="仿宋_GB2312"/>
                      <w:sz w:val="21"/>
                    </w:rPr>
                    <w:t>5.</w:t>
                  </w:r>
                  <w:r>
                    <w:rPr>
                      <w:rFonts w:ascii="仿宋_GB2312" w:hAnsi="仿宋_GB2312" w:cs="仿宋_GB2312" w:eastAsia="仿宋_GB2312"/>
                      <w:sz w:val="21"/>
                    </w:rPr>
                    <w:t>分辨率：≥3840*2160</w:t>
                  </w:r>
                </w:p>
                <w:p>
                  <w:pPr>
                    <w:pStyle w:val="null3"/>
                    <w:jc w:val="left"/>
                  </w:pPr>
                  <w:r>
                    <w:rPr>
                      <w:rFonts w:ascii="仿宋_GB2312" w:hAnsi="仿宋_GB2312" w:cs="仿宋_GB2312" w:eastAsia="仿宋_GB2312"/>
                      <w:sz w:val="21"/>
                    </w:rPr>
                    <w:t>6.</w:t>
                  </w:r>
                  <w:r>
                    <w:rPr>
                      <w:rFonts w:ascii="仿宋_GB2312" w:hAnsi="仿宋_GB2312" w:cs="仿宋_GB2312" w:eastAsia="仿宋_GB2312"/>
                      <w:sz w:val="21"/>
                    </w:rPr>
                    <w:t>帧频：≥60 Hz</w:t>
                  </w:r>
                </w:p>
                <w:p>
                  <w:pPr>
                    <w:pStyle w:val="null3"/>
                    <w:jc w:val="left"/>
                  </w:pPr>
                  <w:r>
                    <w:rPr>
                      <w:rFonts w:ascii="仿宋_GB2312" w:hAnsi="仿宋_GB2312" w:cs="仿宋_GB2312" w:eastAsia="仿宋_GB2312"/>
                      <w:sz w:val="21"/>
                    </w:rPr>
                    <w:t>7.</w:t>
                  </w:r>
                  <w:r>
                    <w:rPr>
                      <w:rFonts w:ascii="仿宋_GB2312" w:hAnsi="仿宋_GB2312" w:cs="仿宋_GB2312" w:eastAsia="仿宋_GB2312"/>
                      <w:sz w:val="21"/>
                    </w:rPr>
                    <w:t>视角：≥178°(H)/178°(V)</w:t>
                  </w:r>
                </w:p>
                <w:p>
                  <w:pPr>
                    <w:pStyle w:val="null3"/>
                    <w:jc w:val="left"/>
                  </w:pPr>
                  <w:r>
                    <w:rPr>
                      <w:rFonts w:ascii="仿宋_GB2312" w:hAnsi="仿宋_GB2312" w:cs="仿宋_GB2312" w:eastAsia="仿宋_GB2312"/>
                      <w:sz w:val="21"/>
                    </w:rPr>
                    <w:t>8.</w:t>
                  </w:r>
                  <w:r>
                    <w:rPr>
                      <w:rFonts w:ascii="仿宋_GB2312" w:hAnsi="仿宋_GB2312" w:cs="仿宋_GB2312" w:eastAsia="仿宋_GB2312"/>
                      <w:sz w:val="21"/>
                    </w:rPr>
                    <w:t>色彩度：≥1.07B(8bit)</w:t>
                  </w:r>
                </w:p>
                <w:p>
                  <w:pPr>
                    <w:pStyle w:val="null3"/>
                    <w:jc w:val="left"/>
                  </w:pPr>
                  <w:r>
                    <w:rPr>
                      <w:rFonts w:ascii="仿宋_GB2312" w:hAnsi="仿宋_GB2312" w:cs="仿宋_GB2312" w:eastAsia="仿宋_GB2312"/>
                      <w:sz w:val="21"/>
                    </w:rPr>
                    <w:t>9.</w:t>
                  </w:r>
                  <w:r>
                    <w:rPr>
                      <w:rFonts w:ascii="仿宋_GB2312" w:hAnsi="仿宋_GB2312" w:cs="仿宋_GB2312" w:eastAsia="仿宋_GB2312"/>
                      <w:sz w:val="21"/>
                    </w:rPr>
                    <w:t xml:space="preserve">寿命：≥30000 hrs   </w:t>
                  </w:r>
                </w:p>
                <w:p>
                  <w:pPr>
                    <w:pStyle w:val="null3"/>
                    <w:jc w:val="left"/>
                  </w:pPr>
                  <w:r>
                    <w:rPr>
                      <w:rFonts w:ascii="仿宋_GB2312" w:hAnsi="仿宋_GB2312" w:cs="仿宋_GB2312" w:eastAsia="仿宋_GB2312"/>
                      <w:sz w:val="21"/>
                    </w:rPr>
                    <w:t>10.</w:t>
                  </w:r>
                  <w:r>
                    <w:rPr>
                      <w:rFonts w:ascii="仿宋_GB2312" w:hAnsi="仿宋_GB2312" w:cs="仿宋_GB2312" w:eastAsia="仿宋_GB2312"/>
                      <w:sz w:val="21"/>
                    </w:rPr>
                    <w:t>配置要求：处理器 ≥8核 12线程 睿频3.3GHz； 内存≥8G，固态硬盘≥512G</w:t>
                  </w:r>
                </w:p>
                <w:p>
                  <w:pPr>
                    <w:pStyle w:val="null3"/>
                    <w:jc w:val="left"/>
                  </w:pPr>
                  <w:r>
                    <w:rPr>
                      <w:rFonts w:ascii="仿宋_GB2312" w:hAnsi="仿宋_GB2312" w:cs="仿宋_GB2312" w:eastAsia="仿宋_GB2312"/>
                      <w:sz w:val="21"/>
                    </w:rPr>
                    <w:t>11.</w:t>
                  </w:r>
                  <w:r>
                    <w:rPr>
                      <w:rFonts w:ascii="仿宋_GB2312" w:hAnsi="仿宋_GB2312" w:cs="仿宋_GB2312" w:eastAsia="仿宋_GB2312"/>
                      <w:sz w:val="21"/>
                    </w:rPr>
                    <w:t>系统：提供操作系统</w:t>
                  </w:r>
                </w:p>
                <w:p>
                  <w:pPr>
                    <w:pStyle w:val="null3"/>
                    <w:jc w:val="left"/>
                  </w:pPr>
                  <w:r>
                    <w:rPr>
                      <w:rFonts w:ascii="仿宋_GB2312" w:hAnsi="仿宋_GB2312" w:cs="仿宋_GB2312" w:eastAsia="仿宋_GB2312"/>
                      <w:sz w:val="21"/>
                    </w:rPr>
                    <w:t>12.</w:t>
                  </w:r>
                  <w:r>
                    <w:rPr>
                      <w:rFonts w:ascii="仿宋_GB2312" w:hAnsi="仿宋_GB2312" w:cs="仿宋_GB2312" w:eastAsia="仿宋_GB2312"/>
                      <w:sz w:val="21"/>
                    </w:rPr>
                    <w:t>内置：2.4G/5G 双频，双网卡，支持无线上网和 WIFI 热点同时使用；</w:t>
                  </w:r>
                </w:p>
                <w:p>
                  <w:pPr>
                    <w:pStyle w:val="null3"/>
                    <w:jc w:val="left"/>
                  </w:pPr>
                  <w:r>
                    <w:rPr>
                      <w:rFonts w:ascii="仿宋_GB2312" w:hAnsi="仿宋_GB2312" w:cs="仿宋_GB2312" w:eastAsia="仿宋_GB2312"/>
                      <w:sz w:val="21"/>
                    </w:rPr>
                    <w:t>13.</w:t>
                  </w:r>
                  <w:r>
                    <w:rPr>
                      <w:rFonts w:ascii="仿宋_GB2312" w:hAnsi="仿宋_GB2312" w:cs="仿宋_GB2312" w:eastAsia="仿宋_GB2312"/>
                      <w:sz w:val="21"/>
                    </w:rPr>
                    <w:t>支持 ≥20 点触控；</w:t>
                  </w:r>
                </w:p>
                <w:p>
                  <w:pPr>
                    <w:pStyle w:val="null3"/>
                    <w:spacing w:after="120"/>
                    <w:jc w:val="both"/>
                  </w:pPr>
                  <w:r>
                    <w:rPr>
                      <w:rFonts w:ascii="仿宋_GB2312" w:hAnsi="仿宋_GB2312" w:cs="仿宋_GB2312" w:eastAsia="仿宋_GB2312"/>
                      <w:sz w:val="21"/>
                    </w:rPr>
                    <w:t>14.</w:t>
                  </w:r>
                  <w:r>
                    <w:rPr>
                      <w:rFonts w:ascii="仿宋_GB2312" w:hAnsi="仿宋_GB2312" w:cs="仿宋_GB2312" w:eastAsia="仿宋_GB2312"/>
                      <w:sz w:val="21"/>
                    </w:rPr>
                    <w:t>防爆钢化玻璃，莫氏 ≥7 级硬度。</w:t>
                  </w:r>
                </w:p>
              </w:tc>
              <w:tc>
                <w:tcPr>
                  <w:tcW w:type="dxa" w:w="239"/>
                  <w:tcBorders>
                    <w:top w:val="none" w:color="000000" w:sz="4"/>
                    <w:left w:val="none" w:color="000000" w:sz="4"/>
                    <w:bottom w:val="single" w:color="000000" w:sz="4"/>
                    <w:right w:val="single" w:color="000000" w:sz="4"/>
                  </w:tcBorders>
                  <w:tcMar>
                    <w:top w:type="dxa" w:w="0"/>
                    <w:left w:type="dxa" w:w="30"/>
                    <w:bottom w:type="dxa" w:w="0"/>
                    <w:right w:type="dxa" w:w="30"/>
                  </w:tcMar>
                </w:tcPr>
                <w:p>
                  <w:pPr>
                    <w:pStyle w:val="null3"/>
                    <w:spacing w:after="120"/>
                    <w:jc w:val="center"/>
                  </w:pPr>
                  <w:r>
                    <w:rPr>
                      <w:rFonts w:ascii="仿宋_GB2312" w:hAnsi="仿宋_GB2312" w:cs="仿宋_GB2312" w:eastAsia="仿宋_GB2312"/>
                      <w:sz w:val="21"/>
                    </w:rPr>
                    <w:t>1</w:t>
                  </w:r>
                  <w:r>
                    <w:rPr>
                      <w:rFonts w:ascii="仿宋_GB2312" w:hAnsi="仿宋_GB2312" w:cs="仿宋_GB2312" w:eastAsia="仿宋_GB2312"/>
                      <w:sz w:val="21"/>
                    </w:rPr>
                    <w:t>台</w:t>
                  </w:r>
                </w:p>
              </w:tc>
            </w:tr>
            <w:tr>
              <w:tc>
                <w:tcPr>
                  <w:tcW w:type="dxa" w:w="174"/>
                  <w:tcBorders>
                    <w:top w:val="none" w:color="000000" w:sz="4"/>
                    <w:left w:val="single" w:color="000000" w:sz="4"/>
                    <w:bottom w:val="single" w:color="000000" w:sz="4"/>
                    <w:right w:val="none" w:color="000000" w:sz="4"/>
                  </w:tcBorders>
                  <w:tcMar>
                    <w:top w:type="dxa" w:w="0"/>
                    <w:left w:type="dxa" w:w="30"/>
                    <w:bottom w:type="dxa" w:w="0"/>
                    <w:right w:type="dxa" w:w="30"/>
                  </w:tcMar>
                </w:tcPr>
                <w:p>
                  <w:pPr>
                    <w:pStyle w:val="null3"/>
                    <w:numPr>
                      <w:ilvl w:val="0"/>
                      <w:numId w:val="1"/>
                    </w:numPr>
                    <w:jc w:val="center"/>
                  </w:pPr>
                </w:p>
              </w:tc>
              <w:tc>
                <w:tcPr>
                  <w:tcW w:type="dxa" w:w="267"/>
                  <w:tcBorders>
                    <w:top w:val="none" w:color="000000" w:sz="4"/>
                    <w:left w:val="single" w:color="000000" w:sz="4"/>
                    <w:bottom w:val="single" w:color="000000" w:sz="4"/>
                    <w:right w:val="single" w:color="000000" w:sz="4"/>
                  </w:tcBorders>
                  <w:tcMar>
                    <w:top w:type="dxa" w:w="0"/>
                    <w:left w:type="dxa" w:w="30"/>
                    <w:bottom w:type="dxa" w:w="0"/>
                    <w:right w:type="dxa" w:w="30"/>
                  </w:tcMar>
                </w:tcPr>
                <w:p>
                  <w:pPr>
                    <w:pStyle w:val="null3"/>
                    <w:spacing w:before="120"/>
                    <w:jc w:val="center"/>
                  </w:pPr>
                  <w:r>
                    <w:rPr>
                      <w:rFonts w:ascii="仿宋_GB2312" w:hAnsi="仿宋_GB2312" w:cs="仿宋_GB2312" w:eastAsia="仿宋_GB2312"/>
                      <w:sz w:val="21"/>
                    </w:rPr>
                    <w:t>MR</w:t>
                  </w:r>
                  <w:r>
                    <w:rPr>
                      <w:rFonts w:ascii="仿宋_GB2312" w:hAnsi="仿宋_GB2312" w:cs="仿宋_GB2312" w:eastAsia="仿宋_GB2312"/>
                      <w:sz w:val="21"/>
                    </w:rPr>
                    <w:t>混合现实一体机</w:t>
                  </w:r>
                </w:p>
              </w:tc>
              <w:tc>
                <w:tcPr>
                  <w:tcW w:type="dxa" w:w="1868"/>
                  <w:tcBorders>
                    <w:top w:val="none" w:color="000000" w:sz="4"/>
                    <w:left w:val="none" w:color="000000" w:sz="4"/>
                    <w:bottom w:val="single" w:color="000000" w:sz="4"/>
                    <w:right w:val="single" w:color="000000" w:sz="4"/>
                  </w:tcBorders>
                  <w:tcMar>
                    <w:top w:type="dxa" w:w="0"/>
                    <w:left w:type="dxa" w:w="30"/>
                    <w:bottom w:type="dxa" w:w="0"/>
                    <w:right w:type="dxa" w:w="30"/>
                  </w:tcMar>
                </w:tcPr>
                <w:p>
                  <w:pPr>
                    <w:pStyle w:val="null3"/>
                    <w:jc w:val="both"/>
                  </w:pPr>
                  <w:r>
                    <w:rPr>
                      <w:rFonts w:ascii="仿宋_GB2312" w:hAnsi="仿宋_GB2312" w:cs="仿宋_GB2312" w:eastAsia="仿宋_GB2312"/>
                      <w:sz w:val="21"/>
                    </w:rPr>
                    <w:t>分辨率：单眼</w:t>
                  </w:r>
                  <w:r>
                    <w:rPr>
                      <w:rFonts w:ascii="仿宋_GB2312" w:hAnsi="仿宋_GB2312" w:cs="仿宋_GB2312" w:eastAsia="仿宋_GB2312"/>
                      <w:sz w:val="21"/>
                    </w:rPr>
                    <w:t>≥</w:t>
                  </w:r>
                  <w:r>
                    <w:rPr>
                      <w:rFonts w:ascii="仿宋_GB2312" w:hAnsi="仿宋_GB2312" w:cs="仿宋_GB2312" w:eastAsia="仿宋_GB2312"/>
                      <w:sz w:val="21"/>
                    </w:rPr>
                    <w:t xml:space="preserve">2160*2160 </w:t>
                  </w:r>
                  <w:r>
                    <w:rPr>
                      <w:rFonts w:ascii="仿宋_GB2312" w:hAnsi="仿宋_GB2312" w:cs="仿宋_GB2312" w:eastAsia="仿宋_GB2312"/>
                      <w:sz w:val="21"/>
                    </w:rPr>
                    <w:t>，1200 PPI</w:t>
                  </w:r>
                </w:p>
                <w:p>
                  <w:pPr>
                    <w:pStyle w:val="null3"/>
                    <w:jc w:val="both"/>
                  </w:pPr>
                  <w:r>
                    <w:rPr>
                      <w:rFonts w:ascii="仿宋_GB2312" w:hAnsi="仿宋_GB2312" w:cs="仿宋_GB2312" w:eastAsia="仿宋_GB2312"/>
                      <w:sz w:val="21"/>
                    </w:rPr>
                    <w:t>渲染分辨率：</w:t>
                  </w:r>
                  <w:r>
                    <w:rPr>
                      <w:rFonts w:ascii="仿宋_GB2312" w:hAnsi="仿宋_GB2312" w:cs="仿宋_GB2312" w:eastAsia="仿宋_GB2312"/>
                      <w:sz w:val="21"/>
                    </w:rPr>
                    <w:t>≥</w:t>
                  </w:r>
                  <w:r>
                    <w:rPr>
                      <w:rFonts w:ascii="仿宋_GB2312" w:hAnsi="仿宋_GB2312" w:cs="仿宋_GB2312" w:eastAsia="仿宋_GB2312"/>
                      <w:sz w:val="21"/>
                    </w:rPr>
                    <w:t>1920*1920</w:t>
                  </w:r>
                </w:p>
                <w:p>
                  <w:pPr>
                    <w:pStyle w:val="null3"/>
                    <w:jc w:val="both"/>
                  </w:pPr>
                  <w:r>
                    <w:rPr>
                      <w:rFonts w:ascii="仿宋_GB2312" w:hAnsi="仿宋_GB2312" w:cs="仿宋_GB2312" w:eastAsia="仿宋_GB2312"/>
                      <w:sz w:val="21"/>
                    </w:rPr>
                    <w:t>刷新率：</w:t>
                  </w:r>
                  <w:r>
                    <w:rPr>
                      <w:rFonts w:ascii="仿宋_GB2312" w:hAnsi="仿宋_GB2312" w:cs="仿宋_GB2312" w:eastAsia="仿宋_GB2312"/>
                      <w:sz w:val="21"/>
                    </w:rPr>
                    <w:t>≥</w:t>
                  </w:r>
                  <w:r>
                    <w:rPr>
                      <w:rFonts w:ascii="仿宋_GB2312" w:hAnsi="仿宋_GB2312" w:cs="仿宋_GB2312" w:eastAsia="仿宋_GB2312"/>
                      <w:sz w:val="21"/>
                    </w:rPr>
                    <w:t>90Hz</w:t>
                  </w:r>
                </w:p>
                <w:p>
                  <w:pPr>
                    <w:pStyle w:val="null3"/>
                    <w:jc w:val="both"/>
                  </w:pPr>
                  <w:r>
                    <w:rPr>
                      <w:rFonts w:ascii="仿宋_GB2312" w:hAnsi="仿宋_GB2312" w:cs="仿宋_GB2312" w:eastAsia="仿宋_GB2312"/>
                      <w:sz w:val="21"/>
                    </w:rPr>
                    <w:t>内存：</w:t>
                  </w:r>
                  <w:r>
                    <w:rPr>
                      <w:rFonts w:ascii="仿宋_GB2312" w:hAnsi="仿宋_GB2312" w:cs="仿宋_GB2312" w:eastAsia="仿宋_GB2312"/>
                      <w:sz w:val="21"/>
                    </w:rPr>
                    <w:t>≥</w:t>
                  </w:r>
                  <w:r>
                    <w:rPr>
                      <w:rFonts w:ascii="仿宋_GB2312" w:hAnsi="仿宋_GB2312" w:cs="仿宋_GB2312" w:eastAsia="仿宋_GB2312"/>
                      <w:sz w:val="21"/>
                    </w:rPr>
                    <w:t>12GB LPDDR5</w:t>
                  </w:r>
                </w:p>
                <w:p>
                  <w:pPr>
                    <w:pStyle w:val="null3"/>
                    <w:jc w:val="both"/>
                  </w:pPr>
                  <w:r>
                    <w:rPr>
                      <w:rFonts w:ascii="仿宋_GB2312" w:hAnsi="仿宋_GB2312" w:cs="仿宋_GB2312" w:eastAsia="仿宋_GB2312"/>
                      <w:sz w:val="21"/>
                    </w:rPr>
                    <w:t>闪存：</w:t>
                  </w:r>
                  <w:r>
                    <w:rPr>
                      <w:rFonts w:ascii="仿宋_GB2312" w:hAnsi="仿宋_GB2312" w:cs="仿宋_GB2312" w:eastAsia="仿宋_GB2312"/>
                      <w:sz w:val="21"/>
                    </w:rPr>
                    <w:t>≥</w:t>
                  </w:r>
                  <w:r>
                    <w:rPr>
                      <w:rFonts w:ascii="仿宋_GB2312" w:hAnsi="仿宋_GB2312" w:cs="仿宋_GB2312" w:eastAsia="仿宋_GB2312"/>
                      <w:sz w:val="21"/>
                    </w:rPr>
                    <w:t>256GB</w:t>
                  </w:r>
                </w:p>
                <w:p>
                  <w:pPr>
                    <w:pStyle w:val="null3"/>
                    <w:jc w:val="both"/>
                  </w:pPr>
                  <w:r>
                    <w:rPr>
                      <w:rFonts w:ascii="仿宋_GB2312" w:hAnsi="仿宋_GB2312" w:cs="仿宋_GB2312" w:eastAsia="仿宋_GB2312"/>
                      <w:sz w:val="21"/>
                    </w:rPr>
                    <w:t>具备混合现实传感器：</w:t>
                  </w:r>
                  <w:r>
                    <w:rPr>
                      <w:rFonts w:ascii="仿宋_GB2312" w:hAnsi="仿宋_GB2312" w:cs="仿宋_GB2312" w:eastAsia="仿宋_GB2312"/>
                      <w:sz w:val="21"/>
                    </w:rPr>
                    <w:t>≥</w:t>
                  </w:r>
                  <w:r>
                    <w:rPr>
                      <w:rFonts w:ascii="仿宋_GB2312" w:hAnsi="仿宋_GB2312" w:cs="仿宋_GB2312" w:eastAsia="仿宋_GB2312"/>
                      <w:sz w:val="21"/>
                    </w:rPr>
                    <w:t xml:space="preserve">3200 </w:t>
                  </w:r>
                  <w:r>
                    <w:rPr>
                      <w:rFonts w:ascii="仿宋_GB2312" w:hAnsi="仿宋_GB2312" w:cs="仿宋_GB2312" w:eastAsia="仿宋_GB2312"/>
                      <w:sz w:val="21"/>
                    </w:rPr>
                    <w:t>万像素彩色摄像头</w:t>
                  </w:r>
                </w:p>
                <w:p>
                  <w:pPr>
                    <w:pStyle w:val="null3"/>
                    <w:jc w:val="both"/>
                  </w:pPr>
                  <w:r>
                    <w:rPr>
                      <w:rFonts w:ascii="仿宋_GB2312" w:hAnsi="仿宋_GB2312" w:cs="仿宋_GB2312" w:eastAsia="仿宋_GB2312"/>
                      <w:sz w:val="21"/>
                    </w:rPr>
                    <w:t>具有深度感知摄像头</w:t>
                  </w:r>
                </w:p>
                <w:p>
                  <w:pPr>
                    <w:pStyle w:val="null3"/>
                    <w:jc w:val="both"/>
                  </w:pPr>
                  <w:r>
                    <w:rPr>
                      <w:rFonts w:ascii="仿宋_GB2312" w:hAnsi="仿宋_GB2312" w:cs="仿宋_GB2312" w:eastAsia="仿宋_GB2312"/>
                      <w:sz w:val="21"/>
                    </w:rPr>
                    <w:t>环境追踪摄像头</w:t>
                  </w:r>
                </w:p>
                <w:p>
                  <w:pPr>
                    <w:pStyle w:val="null3"/>
                    <w:jc w:val="both"/>
                  </w:pPr>
                  <w:r>
                    <w:rPr>
                      <w:rFonts w:ascii="仿宋_GB2312" w:hAnsi="仿宋_GB2312" w:cs="仿宋_GB2312" w:eastAsia="仿宋_GB2312"/>
                      <w:sz w:val="21"/>
                    </w:rPr>
                    <w:t>视场角：</w:t>
                  </w:r>
                  <w:r>
                    <w:rPr>
                      <w:rFonts w:ascii="仿宋_GB2312" w:hAnsi="仿宋_GB2312" w:cs="仿宋_GB2312" w:eastAsia="仿宋_GB2312"/>
                      <w:sz w:val="21"/>
                    </w:rPr>
                    <w:t>≥</w:t>
                  </w:r>
                  <w:r>
                    <w:rPr>
                      <w:rFonts w:ascii="仿宋_GB2312" w:hAnsi="仿宋_GB2312" w:cs="仿宋_GB2312" w:eastAsia="仿宋_GB2312"/>
                      <w:sz w:val="21"/>
                    </w:rPr>
                    <w:t>105</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扬声器：360°环绕立体声扬声器，支持3D空间效果</w:t>
                  </w:r>
                </w:p>
                <w:p>
                  <w:pPr>
                    <w:pStyle w:val="null3"/>
                    <w:jc w:val="both"/>
                  </w:pPr>
                  <w:r>
                    <w:rPr>
                      <w:rFonts w:ascii="仿宋_GB2312" w:hAnsi="仿宋_GB2312" w:cs="仿宋_GB2312" w:eastAsia="仿宋_GB2312"/>
                      <w:sz w:val="21"/>
                    </w:rPr>
                    <w:t>麦克风：支持空间音频录制的四MEMS麦克风</w:t>
                  </w:r>
                </w:p>
                <w:p>
                  <w:pPr>
                    <w:pStyle w:val="null3"/>
                    <w:jc w:val="both"/>
                  </w:pPr>
                  <w:r>
                    <w:rPr>
                      <w:rFonts w:ascii="仿宋_GB2312" w:hAnsi="仿宋_GB2312" w:cs="仿宋_GB2312" w:eastAsia="仿宋_GB2312"/>
                      <w:sz w:val="21"/>
                    </w:rPr>
                    <w:t>电池：</w:t>
                  </w:r>
                  <w:r>
                    <w:rPr>
                      <w:rFonts w:ascii="仿宋_GB2312" w:hAnsi="仿宋_GB2312" w:cs="仿宋_GB2312" w:eastAsia="仿宋_GB2312"/>
                      <w:sz w:val="21"/>
                    </w:rPr>
                    <w:t>≥</w:t>
                  </w:r>
                  <w:r>
                    <w:rPr>
                      <w:rFonts w:ascii="仿宋_GB2312" w:hAnsi="仿宋_GB2312" w:cs="仿宋_GB2312" w:eastAsia="仿宋_GB2312"/>
                      <w:sz w:val="21"/>
                    </w:rPr>
                    <w:t xml:space="preserve">5700mAh </w:t>
                  </w:r>
                  <w:r>
                    <w:rPr>
                      <w:rFonts w:ascii="仿宋_GB2312" w:hAnsi="仿宋_GB2312" w:cs="仿宋_GB2312" w:eastAsia="仿宋_GB2312"/>
                      <w:sz w:val="21"/>
                    </w:rPr>
                    <w:t>额定容量，最高支持 45W 快充</w:t>
                  </w:r>
                </w:p>
              </w:tc>
              <w:tc>
                <w:tcPr>
                  <w:tcW w:type="dxa" w:w="239"/>
                  <w:tcBorders>
                    <w:top w:val="none" w:color="000000" w:sz="4"/>
                    <w:left w:val="none" w:color="000000" w:sz="4"/>
                    <w:bottom w:val="single" w:color="000000" w:sz="4"/>
                    <w:right w:val="single" w:color="000000" w:sz="4"/>
                  </w:tcBorders>
                  <w:tcMar>
                    <w:top w:type="dxa" w:w="0"/>
                    <w:left w:type="dxa" w:w="30"/>
                    <w:bottom w:type="dxa" w:w="0"/>
                    <w:right w:type="dxa" w:w="30"/>
                  </w:tcMar>
                </w:tcPr>
                <w:p>
                  <w:pPr>
                    <w:pStyle w:val="null3"/>
                    <w:spacing w:before="120"/>
                    <w:jc w:val="center"/>
                  </w:pPr>
                  <w:r>
                    <w:rPr>
                      <w:rFonts w:ascii="仿宋_GB2312" w:hAnsi="仿宋_GB2312" w:cs="仿宋_GB2312" w:eastAsia="仿宋_GB2312"/>
                      <w:sz w:val="21"/>
                    </w:rPr>
                    <w:t>2</w:t>
                  </w:r>
                  <w:r>
                    <w:rPr>
                      <w:rFonts w:ascii="仿宋_GB2312" w:hAnsi="仿宋_GB2312" w:cs="仿宋_GB2312" w:eastAsia="仿宋_GB2312"/>
                      <w:sz w:val="21"/>
                    </w:rPr>
                    <w:t>台</w:t>
                  </w:r>
                </w:p>
              </w:tc>
            </w:tr>
            <w:tr>
              <w:tc>
                <w:tcPr>
                  <w:tcW w:type="dxa" w:w="174"/>
                  <w:tcBorders>
                    <w:top w:val="none" w:color="000000" w:sz="4"/>
                    <w:left w:val="single" w:color="000000" w:sz="4"/>
                    <w:bottom w:val="single" w:color="000000" w:sz="4"/>
                    <w:right w:val="none" w:color="000000" w:sz="4"/>
                  </w:tcBorders>
                  <w:tcMar>
                    <w:top w:type="dxa" w:w="0"/>
                    <w:left w:type="dxa" w:w="30"/>
                    <w:bottom w:type="dxa" w:w="0"/>
                    <w:right w:type="dxa" w:w="30"/>
                  </w:tcMar>
                </w:tcPr>
                <w:p>
                  <w:pPr>
                    <w:pStyle w:val="null3"/>
                    <w:numPr>
                      <w:ilvl w:val="0"/>
                      <w:numId w:val="1"/>
                    </w:numPr>
                    <w:jc w:val="both"/>
                  </w:pPr>
                </w:p>
              </w:tc>
              <w:tc>
                <w:tcPr>
                  <w:tcW w:type="dxa" w:w="267"/>
                  <w:tcBorders>
                    <w:top w:val="none" w:color="000000" w:sz="4"/>
                    <w:left w:val="single" w:color="000000" w:sz="4"/>
                    <w:bottom w:val="single" w:color="000000" w:sz="4"/>
                    <w:right w:val="single" w:color="000000" w:sz="4"/>
                  </w:tcBorders>
                  <w:tcMar>
                    <w:top w:type="dxa" w:w="0"/>
                    <w:left w:type="dxa" w:w="30"/>
                    <w:bottom w:type="dxa" w:w="0"/>
                    <w:right w:type="dxa" w:w="30"/>
                  </w:tcMar>
                </w:tcPr>
                <w:p>
                  <w:pPr>
                    <w:pStyle w:val="null3"/>
                    <w:spacing w:before="120"/>
                    <w:jc w:val="center"/>
                  </w:pPr>
                  <w:r>
                    <w:rPr>
                      <w:rFonts w:ascii="仿宋_GB2312" w:hAnsi="仿宋_GB2312" w:cs="仿宋_GB2312" w:eastAsia="仿宋_GB2312"/>
                      <w:sz w:val="21"/>
                    </w:rPr>
                    <w:t>多功能办公一体机</w:t>
                  </w:r>
                </w:p>
              </w:tc>
              <w:tc>
                <w:tcPr>
                  <w:tcW w:type="dxa" w:w="1868"/>
                  <w:tcBorders>
                    <w:top w:val="none" w:color="000000" w:sz="4"/>
                    <w:left w:val="none" w:color="000000" w:sz="4"/>
                    <w:bottom w:val="single" w:color="000000" w:sz="4"/>
                    <w:right w:val="single" w:color="000000" w:sz="4"/>
                  </w:tcBorders>
                  <w:tcMar>
                    <w:top w:type="dxa" w:w="0"/>
                    <w:left w:type="dxa" w:w="30"/>
                    <w:bottom w:type="dxa" w:w="0"/>
                    <w:right w:type="dxa" w:w="30"/>
                  </w:tcMar>
                </w:tcPr>
                <w:p>
                  <w:pPr>
                    <w:pStyle w:val="null3"/>
                    <w:jc w:val="both"/>
                  </w:pPr>
                  <w:r>
                    <w:rPr>
                      <w:rFonts w:ascii="仿宋_GB2312" w:hAnsi="仿宋_GB2312" w:cs="仿宋_GB2312" w:eastAsia="仿宋_GB2312"/>
                      <w:sz w:val="21"/>
                    </w:rPr>
                    <w:t>网络连接：wifi或USB</w:t>
                  </w:r>
                </w:p>
                <w:p>
                  <w:pPr>
                    <w:pStyle w:val="null3"/>
                    <w:jc w:val="both"/>
                  </w:pPr>
                  <w:r>
                    <w:rPr>
                      <w:rFonts w:ascii="仿宋_GB2312" w:hAnsi="仿宋_GB2312" w:cs="仿宋_GB2312" w:eastAsia="仿宋_GB2312"/>
                      <w:sz w:val="21"/>
                    </w:rPr>
                    <w:t>Wifi</w:t>
                  </w:r>
                  <w:r>
                    <w:rPr>
                      <w:rFonts w:ascii="仿宋_GB2312" w:hAnsi="仿宋_GB2312" w:cs="仿宋_GB2312" w:eastAsia="仿宋_GB2312"/>
                      <w:sz w:val="21"/>
                    </w:rPr>
                    <w:t>频段：2.4G</w:t>
                  </w:r>
                </w:p>
                <w:p>
                  <w:pPr>
                    <w:pStyle w:val="null3"/>
                    <w:jc w:val="both"/>
                  </w:pPr>
                  <w:r>
                    <w:rPr>
                      <w:rFonts w:ascii="仿宋_GB2312" w:hAnsi="仿宋_GB2312" w:cs="仿宋_GB2312" w:eastAsia="仿宋_GB2312"/>
                      <w:sz w:val="21"/>
                    </w:rPr>
                    <w:t>扫描功能：平板式扫描</w:t>
                  </w:r>
                </w:p>
                <w:p>
                  <w:pPr>
                    <w:pStyle w:val="null3"/>
                    <w:jc w:val="both"/>
                  </w:pPr>
                  <w:r>
                    <w:rPr>
                      <w:rFonts w:ascii="仿宋_GB2312" w:hAnsi="仿宋_GB2312" w:cs="仿宋_GB2312" w:eastAsia="仿宋_GB2312"/>
                      <w:sz w:val="21"/>
                    </w:rPr>
                    <w:t>扫描精度：</w:t>
                  </w:r>
                  <w:r>
                    <w:rPr>
                      <w:rFonts w:ascii="仿宋_GB2312" w:hAnsi="仿宋_GB2312" w:cs="仿宋_GB2312" w:eastAsia="仿宋_GB2312"/>
                      <w:sz w:val="21"/>
                      <w:color w:val="000000"/>
                    </w:rPr>
                    <w:t>≥</w:t>
                  </w:r>
                  <w:r>
                    <w:rPr>
                      <w:rFonts w:ascii="仿宋_GB2312" w:hAnsi="仿宋_GB2312" w:cs="仿宋_GB2312" w:eastAsia="仿宋_GB2312"/>
                      <w:sz w:val="21"/>
                    </w:rPr>
                    <w:t>1200dpi</w:t>
                  </w:r>
                </w:p>
                <w:p>
                  <w:pPr>
                    <w:pStyle w:val="null3"/>
                    <w:jc w:val="both"/>
                  </w:pPr>
                  <w:r>
                    <w:rPr>
                      <w:rFonts w:ascii="仿宋_GB2312" w:hAnsi="仿宋_GB2312" w:cs="仿宋_GB2312" w:eastAsia="仿宋_GB2312"/>
                      <w:sz w:val="21"/>
                    </w:rPr>
                    <w:t>分辨率：</w:t>
                  </w:r>
                  <w:r>
                    <w:rPr>
                      <w:rFonts w:ascii="仿宋_GB2312" w:hAnsi="仿宋_GB2312" w:cs="仿宋_GB2312" w:eastAsia="仿宋_GB2312"/>
                      <w:sz w:val="21"/>
                      <w:color w:val="000000"/>
                    </w:rPr>
                    <w:t>≥</w:t>
                  </w:r>
                  <w:r>
                    <w:rPr>
                      <w:rFonts w:ascii="仿宋_GB2312" w:hAnsi="仿宋_GB2312" w:cs="仿宋_GB2312" w:eastAsia="仿宋_GB2312"/>
                      <w:sz w:val="21"/>
                    </w:rPr>
                    <w:t>1200*600dpi</w:t>
                  </w:r>
                </w:p>
                <w:p>
                  <w:pPr>
                    <w:pStyle w:val="null3"/>
                    <w:jc w:val="both"/>
                  </w:pPr>
                  <w:r>
                    <w:rPr>
                      <w:rFonts w:ascii="仿宋_GB2312" w:hAnsi="仿宋_GB2312" w:cs="仿宋_GB2312" w:eastAsia="仿宋_GB2312"/>
                      <w:sz w:val="21"/>
                    </w:rPr>
                    <w:t>类型：黑白</w:t>
                  </w:r>
                </w:p>
                <w:p>
                  <w:pPr>
                    <w:pStyle w:val="null3"/>
                    <w:jc w:val="both"/>
                  </w:pPr>
                  <w:r>
                    <w:rPr>
                      <w:rFonts w:ascii="仿宋_GB2312" w:hAnsi="仿宋_GB2312" w:cs="仿宋_GB2312" w:eastAsia="仿宋_GB2312"/>
                      <w:sz w:val="21"/>
                    </w:rPr>
                    <w:t>最大支持幅面：A4</w:t>
                  </w:r>
                </w:p>
              </w:tc>
              <w:tc>
                <w:tcPr>
                  <w:tcW w:type="dxa" w:w="239"/>
                  <w:tcBorders>
                    <w:top w:val="none" w:color="000000" w:sz="4"/>
                    <w:left w:val="none" w:color="000000" w:sz="4"/>
                    <w:bottom w:val="single" w:color="000000" w:sz="4"/>
                    <w:right w:val="single" w:color="000000" w:sz="4"/>
                  </w:tcBorders>
                  <w:tcMar>
                    <w:top w:type="dxa" w:w="0"/>
                    <w:left w:type="dxa" w:w="30"/>
                    <w:bottom w:type="dxa" w:w="0"/>
                    <w:right w:type="dxa" w:w="30"/>
                  </w:tcMar>
                </w:tcPr>
                <w:p>
                  <w:pPr>
                    <w:pStyle w:val="null3"/>
                    <w:spacing w:before="120"/>
                    <w:jc w:val="center"/>
                  </w:pPr>
                  <w:r>
                    <w:rPr>
                      <w:rFonts w:ascii="仿宋_GB2312" w:hAnsi="仿宋_GB2312" w:cs="仿宋_GB2312" w:eastAsia="仿宋_GB2312"/>
                      <w:sz w:val="21"/>
                    </w:rPr>
                    <w:t>3</w:t>
                  </w:r>
                  <w:r>
                    <w:rPr>
                      <w:rFonts w:ascii="仿宋_GB2312" w:hAnsi="仿宋_GB2312" w:cs="仿宋_GB2312" w:eastAsia="仿宋_GB2312"/>
                      <w:sz w:val="21"/>
                    </w:rPr>
                    <w:t>台</w:t>
                  </w:r>
                </w:p>
              </w:tc>
            </w:tr>
            <w:tr>
              <w:tc>
                <w:tcPr>
                  <w:tcW w:type="dxa" w:w="174"/>
                  <w:tcBorders>
                    <w:top w:val="none" w:color="000000" w:sz="4"/>
                    <w:left w:val="single" w:color="000000" w:sz="4"/>
                    <w:bottom w:val="single" w:color="000000" w:sz="4"/>
                    <w:right w:val="none" w:color="000000" w:sz="4"/>
                  </w:tcBorders>
                  <w:tcMar>
                    <w:top w:type="dxa" w:w="0"/>
                    <w:left w:type="dxa" w:w="30"/>
                    <w:bottom w:type="dxa" w:w="0"/>
                    <w:right w:type="dxa" w:w="30"/>
                  </w:tcMar>
                </w:tcPr>
                <w:p>
                  <w:pPr>
                    <w:pStyle w:val="null3"/>
                    <w:numPr>
                      <w:ilvl w:val="0"/>
                      <w:numId w:val="1"/>
                    </w:numPr>
                    <w:jc w:val="both"/>
                  </w:pPr>
                </w:p>
              </w:tc>
              <w:tc>
                <w:tcPr>
                  <w:tcW w:type="dxa" w:w="267"/>
                  <w:tcBorders>
                    <w:top w:val="none" w:color="000000" w:sz="4"/>
                    <w:left w:val="single" w:color="000000" w:sz="4"/>
                    <w:bottom w:val="single" w:color="000000" w:sz="4"/>
                    <w:right w:val="single" w:color="000000" w:sz="4"/>
                  </w:tcBorders>
                  <w:tcMar>
                    <w:top w:type="dxa" w:w="0"/>
                    <w:left w:type="dxa" w:w="30"/>
                    <w:bottom w:type="dxa" w:w="0"/>
                    <w:right w:type="dxa" w:w="30"/>
                  </w:tcMar>
                </w:tcPr>
                <w:p>
                  <w:pPr>
                    <w:pStyle w:val="null3"/>
                    <w:spacing w:before="120"/>
                    <w:jc w:val="center"/>
                  </w:pPr>
                  <w:r>
                    <w:rPr>
                      <w:rFonts w:ascii="仿宋_GB2312" w:hAnsi="仿宋_GB2312" w:cs="仿宋_GB2312" w:eastAsia="仿宋_GB2312"/>
                      <w:sz w:val="21"/>
                    </w:rPr>
                    <w:t>无线路由器</w:t>
                  </w:r>
                </w:p>
              </w:tc>
              <w:tc>
                <w:tcPr>
                  <w:tcW w:type="dxa" w:w="1868"/>
                  <w:tcBorders>
                    <w:top w:val="none" w:color="000000" w:sz="4"/>
                    <w:left w:val="none" w:color="000000" w:sz="4"/>
                    <w:bottom w:val="single" w:color="000000" w:sz="4"/>
                    <w:right w:val="single" w:color="000000" w:sz="4"/>
                  </w:tcBorders>
                  <w:tcMar>
                    <w:top w:type="dxa" w:w="0"/>
                    <w:left w:type="dxa" w:w="30"/>
                    <w:bottom w:type="dxa" w:w="0"/>
                    <w:right w:type="dxa" w:w="30"/>
                  </w:tcMar>
                </w:tcPr>
                <w:p>
                  <w:pPr>
                    <w:pStyle w:val="null3"/>
                    <w:jc w:val="both"/>
                  </w:pPr>
                  <w:r>
                    <w:rPr>
                      <w:rFonts w:ascii="仿宋_GB2312" w:hAnsi="仿宋_GB2312" w:cs="仿宋_GB2312" w:eastAsia="仿宋_GB2312"/>
                      <w:sz w:val="21"/>
                    </w:rPr>
                    <w:t>LAN</w:t>
                  </w:r>
                  <w:r>
                    <w:rPr>
                      <w:rFonts w:ascii="仿宋_GB2312" w:hAnsi="仿宋_GB2312" w:cs="仿宋_GB2312" w:eastAsia="仿宋_GB2312"/>
                      <w:sz w:val="21"/>
                    </w:rPr>
                    <w:t>输出口：≥4个</w:t>
                  </w:r>
                </w:p>
                <w:p>
                  <w:pPr>
                    <w:pStyle w:val="null3"/>
                    <w:jc w:val="both"/>
                  </w:pPr>
                  <w:r>
                    <w:rPr>
                      <w:rFonts w:ascii="仿宋_GB2312" w:hAnsi="仿宋_GB2312" w:cs="仿宋_GB2312" w:eastAsia="仿宋_GB2312"/>
                      <w:sz w:val="21"/>
                    </w:rPr>
                    <w:t>WAN</w:t>
                  </w:r>
                  <w:r>
                    <w:rPr>
                      <w:rFonts w:ascii="仿宋_GB2312" w:hAnsi="仿宋_GB2312" w:cs="仿宋_GB2312" w:eastAsia="仿宋_GB2312"/>
                      <w:sz w:val="21"/>
                    </w:rPr>
                    <w:t>接入口：≥1个</w:t>
                  </w:r>
                </w:p>
                <w:p>
                  <w:pPr>
                    <w:pStyle w:val="null3"/>
                    <w:jc w:val="both"/>
                  </w:pPr>
                  <w:r>
                    <w:rPr>
                      <w:rFonts w:ascii="仿宋_GB2312" w:hAnsi="仿宋_GB2312" w:cs="仿宋_GB2312" w:eastAsia="仿宋_GB2312"/>
                      <w:sz w:val="21"/>
                    </w:rPr>
                    <w:t>天线：外置天线</w:t>
                  </w:r>
                </w:p>
                <w:p>
                  <w:pPr>
                    <w:pStyle w:val="null3"/>
                    <w:jc w:val="both"/>
                  </w:pPr>
                  <w:r>
                    <w:rPr>
                      <w:rFonts w:ascii="仿宋_GB2312" w:hAnsi="仿宋_GB2312" w:cs="仿宋_GB2312" w:eastAsia="仿宋_GB2312"/>
                      <w:sz w:val="21"/>
                    </w:rPr>
                    <w:t>管理方式：APP管理，WEB页面</w:t>
                  </w:r>
                </w:p>
                <w:p>
                  <w:pPr>
                    <w:pStyle w:val="null3"/>
                    <w:jc w:val="both"/>
                  </w:pPr>
                  <w:r>
                    <w:rPr>
                      <w:rFonts w:ascii="仿宋_GB2312" w:hAnsi="仿宋_GB2312" w:cs="仿宋_GB2312" w:eastAsia="仿宋_GB2312"/>
                      <w:sz w:val="21"/>
                    </w:rPr>
                    <w:t>网口盲插：支持网口盲插</w:t>
                  </w:r>
                </w:p>
                <w:p>
                  <w:pPr>
                    <w:pStyle w:val="null3"/>
                    <w:jc w:val="both"/>
                  </w:pPr>
                  <w:r>
                    <w:rPr>
                      <w:rFonts w:ascii="仿宋_GB2312" w:hAnsi="仿宋_GB2312" w:cs="仿宋_GB2312" w:eastAsia="仿宋_GB2312"/>
                      <w:sz w:val="21"/>
                    </w:rPr>
                    <w:t>总带机量：≥100终端</w:t>
                  </w:r>
                </w:p>
                <w:p>
                  <w:pPr>
                    <w:pStyle w:val="null3"/>
                    <w:jc w:val="both"/>
                  </w:pPr>
                  <w:r>
                    <w:rPr>
                      <w:rFonts w:ascii="仿宋_GB2312" w:hAnsi="仿宋_GB2312" w:cs="仿宋_GB2312" w:eastAsia="仿宋_GB2312"/>
                      <w:sz w:val="21"/>
                    </w:rPr>
                    <w:t>无线速率：≥6000Mbps</w:t>
                  </w:r>
                </w:p>
                <w:p>
                  <w:pPr>
                    <w:pStyle w:val="null3"/>
                    <w:jc w:val="both"/>
                  </w:pPr>
                  <w:r>
                    <w:rPr>
                      <w:rFonts w:ascii="仿宋_GB2312" w:hAnsi="仿宋_GB2312" w:cs="仿宋_GB2312" w:eastAsia="仿宋_GB2312"/>
                      <w:sz w:val="21"/>
                    </w:rPr>
                    <w:t>无线协议：Wi-Fi6</w:t>
                  </w:r>
                </w:p>
              </w:tc>
              <w:tc>
                <w:tcPr>
                  <w:tcW w:type="dxa" w:w="239"/>
                  <w:tcBorders>
                    <w:top w:val="none" w:color="000000" w:sz="4"/>
                    <w:left w:val="none" w:color="000000" w:sz="4"/>
                    <w:bottom w:val="single" w:color="000000" w:sz="4"/>
                    <w:right w:val="single" w:color="000000" w:sz="4"/>
                  </w:tcBorders>
                  <w:tcMar>
                    <w:top w:type="dxa" w:w="0"/>
                    <w:left w:type="dxa" w:w="30"/>
                    <w:bottom w:type="dxa" w:w="0"/>
                    <w:right w:type="dxa" w:w="30"/>
                  </w:tcMar>
                </w:tcPr>
                <w:p>
                  <w:pPr>
                    <w:pStyle w:val="null3"/>
                    <w:spacing w:before="120"/>
                    <w:jc w:val="center"/>
                  </w:pPr>
                  <w:r>
                    <w:rPr>
                      <w:rFonts w:ascii="仿宋_GB2312" w:hAnsi="仿宋_GB2312" w:cs="仿宋_GB2312" w:eastAsia="仿宋_GB2312"/>
                      <w:sz w:val="21"/>
                    </w:rPr>
                    <w:t>1</w:t>
                  </w:r>
                  <w:r>
                    <w:rPr>
                      <w:rFonts w:ascii="仿宋_GB2312" w:hAnsi="仿宋_GB2312" w:cs="仿宋_GB2312" w:eastAsia="仿宋_GB2312"/>
                      <w:sz w:val="21"/>
                    </w:rPr>
                    <w:t>台</w:t>
                  </w:r>
                </w:p>
              </w:tc>
            </w:tr>
            <w:tr>
              <w:tc>
                <w:tcPr>
                  <w:tcW w:type="dxa" w:w="174"/>
                  <w:tcBorders>
                    <w:top w:val="none" w:color="000000" w:sz="4"/>
                    <w:left w:val="single" w:color="000000" w:sz="4"/>
                    <w:bottom w:val="single" w:color="000000" w:sz="4"/>
                    <w:right w:val="none" w:color="000000" w:sz="4"/>
                  </w:tcBorders>
                  <w:tcMar>
                    <w:top w:type="dxa" w:w="0"/>
                    <w:left w:type="dxa" w:w="30"/>
                    <w:bottom w:type="dxa" w:w="0"/>
                    <w:right w:type="dxa" w:w="30"/>
                  </w:tcMar>
                </w:tcPr>
                <w:p>
                  <w:pPr>
                    <w:pStyle w:val="null3"/>
                    <w:numPr>
                      <w:ilvl w:val="0"/>
                      <w:numId w:val="1"/>
                    </w:numPr>
                    <w:jc w:val="both"/>
                  </w:pPr>
                </w:p>
              </w:tc>
              <w:tc>
                <w:tcPr>
                  <w:tcW w:type="dxa" w:w="267"/>
                  <w:tcBorders>
                    <w:top w:val="none" w:color="000000" w:sz="4"/>
                    <w:left w:val="single" w:color="000000" w:sz="4"/>
                    <w:bottom w:val="single" w:color="000000" w:sz="4"/>
                    <w:right w:val="single" w:color="000000" w:sz="4"/>
                  </w:tcBorders>
                  <w:tcMar>
                    <w:top w:type="dxa" w:w="0"/>
                    <w:left w:type="dxa" w:w="30"/>
                    <w:bottom w:type="dxa" w:w="0"/>
                    <w:right w:type="dxa" w:w="30"/>
                  </w:tcMar>
                </w:tcPr>
                <w:p>
                  <w:pPr>
                    <w:pStyle w:val="null3"/>
                    <w:spacing w:before="120"/>
                    <w:jc w:val="center"/>
                  </w:pPr>
                  <w:r>
                    <w:rPr>
                      <w:rFonts w:ascii="仿宋_GB2312" w:hAnsi="仿宋_GB2312" w:cs="仿宋_GB2312" w:eastAsia="仿宋_GB2312"/>
                      <w:sz w:val="21"/>
                    </w:rPr>
                    <w:t>交换机</w:t>
                  </w:r>
                </w:p>
              </w:tc>
              <w:tc>
                <w:tcPr>
                  <w:tcW w:type="dxa" w:w="1868"/>
                  <w:tcBorders>
                    <w:top w:val="none" w:color="000000" w:sz="4"/>
                    <w:left w:val="none" w:color="000000" w:sz="4"/>
                    <w:bottom w:val="single" w:color="000000" w:sz="4"/>
                    <w:right w:val="single" w:color="000000" w:sz="4"/>
                  </w:tcBorders>
                  <w:tcMar>
                    <w:top w:type="dxa" w:w="0"/>
                    <w:left w:type="dxa" w:w="30"/>
                    <w:bottom w:type="dxa" w:w="0"/>
                    <w:right w:type="dxa" w:w="30"/>
                  </w:tcMar>
                </w:tcPr>
                <w:p>
                  <w:pPr>
                    <w:pStyle w:val="null3"/>
                    <w:jc w:val="left"/>
                  </w:pPr>
                  <w:r>
                    <w:rPr>
                      <w:rFonts w:ascii="仿宋_GB2312" w:hAnsi="仿宋_GB2312" w:cs="仿宋_GB2312" w:eastAsia="仿宋_GB2312"/>
                      <w:sz w:val="21"/>
                    </w:rPr>
                    <w:t>下行接口类型：以太网交换机</w:t>
                  </w:r>
                </w:p>
                <w:p>
                  <w:pPr>
                    <w:pStyle w:val="null3"/>
                    <w:jc w:val="left"/>
                  </w:pPr>
                  <w:r>
                    <w:rPr>
                      <w:rFonts w:ascii="仿宋_GB2312" w:hAnsi="仿宋_GB2312" w:cs="仿宋_GB2312" w:eastAsia="仿宋_GB2312"/>
                      <w:sz w:val="21"/>
                    </w:rPr>
                    <w:t>云管理交换机：支持云管理</w:t>
                  </w:r>
                </w:p>
                <w:p>
                  <w:pPr>
                    <w:pStyle w:val="null3"/>
                    <w:jc w:val="left"/>
                  </w:pPr>
                  <w:r>
                    <w:rPr>
                      <w:rFonts w:ascii="仿宋_GB2312" w:hAnsi="仿宋_GB2312" w:cs="仿宋_GB2312" w:eastAsia="仿宋_GB2312"/>
                      <w:sz w:val="21"/>
                    </w:rPr>
                    <w:t>端口数量：</w:t>
                  </w:r>
                  <w:r>
                    <w:rPr>
                      <w:rFonts w:ascii="仿宋_GB2312" w:hAnsi="仿宋_GB2312" w:cs="仿宋_GB2312" w:eastAsia="仿宋_GB2312"/>
                      <w:sz w:val="21"/>
                    </w:rPr>
                    <w:t>≥</w:t>
                  </w:r>
                  <w:r>
                    <w:rPr>
                      <w:rFonts w:ascii="仿宋_GB2312" w:hAnsi="仿宋_GB2312" w:cs="仿宋_GB2312" w:eastAsia="仿宋_GB2312"/>
                      <w:sz w:val="21"/>
                    </w:rPr>
                    <w:t>24</w:t>
                  </w:r>
                  <w:r>
                    <w:rPr>
                      <w:rFonts w:ascii="仿宋_GB2312" w:hAnsi="仿宋_GB2312" w:cs="仿宋_GB2312" w:eastAsia="仿宋_GB2312"/>
                      <w:sz w:val="21"/>
                    </w:rPr>
                    <w:t>个</w:t>
                  </w:r>
                </w:p>
                <w:p>
                  <w:pPr>
                    <w:pStyle w:val="null3"/>
                    <w:jc w:val="left"/>
                  </w:pPr>
                  <w:r>
                    <w:rPr>
                      <w:rFonts w:ascii="仿宋_GB2312" w:hAnsi="仿宋_GB2312" w:cs="仿宋_GB2312" w:eastAsia="仿宋_GB2312"/>
                      <w:sz w:val="21"/>
                    </w:rPr>
                    <w:t>网管类型：网管</w:t>
                  </w:r>
                </w:p>
                <w:p>
                  <w:pPr>
                    <w:pStyle w:val="null3"/>
                    <w:jc w:val="left"/>
                  </w:pPr>
                  <w:r>
                    <w:rPr>
                      <w:rFonts w:ascii="仿宋_GB2312" w:hAnsi="仿宋_GB2312" w:cs="仿宋_GB2312" w:eastAsia="仿宋_GB2312"/>
                      <w:sz w:val="21"/>
                    </w:rPr>
                    <w:t>散热方式：自然散热</w:t>
                  </w:r>
                </w:p>
                <w:p>
                  <w:pPr>
                    <w:pStyle w:val="null3"/>
                    <w:jc w:val="left"/>
                  </w:pPr>
                  <w:r>
                    <w:rPr>
                      <w:rFonts w:ascii="仿宋_GB2312" w:hAnsi="仿宋_GB2312" w:cs="仿宋_GB2312" w:eastAsia="仿宋_GB2312"/>
                      <w:sz w:val="21"/>
                    </w:rPr>
                    <w:t>端口供电功能：非</w:t>
                  </w:r>
                  <w:r>
                    <w:rPr>
                      <w:rFonts w:ascii="仿宋_GB2312" w:hAnsi="仿宋_GB2312" w:cs="仿宋_GB2312" w:eastAsia="仿宋_GB2312"/>
                      <w:sz w:val="21"/>
                    </w:rPr>
                    <w:t>POE</w:t>
                  </w:r>
                  <w:r>
                    <w:rPr>
                      <w:rFonts w:ascii="仿宋_GB2312" w:hAnsi="仿宋_GB2312" w:cs="仿宋_GB2312" w:eastAsia="仿宋_GB2312"/>
                      <w:sz w:val="21"/>
                    </w:rPr>
                    <w:t>供电</w:t>
                  </w:r>
                </w:p>
                <w:p>
                  <w:pPr>
                    <w:pStyle w:val="null3"/>
                    <w:jc w:val="left"/>
                  </w:pPr>
                  <w:r>
                    <w:rPr>
                      <w:rFonts w:ascii="仿宋_GB2312" w:hAnsi="仿宋_GB2312" w:cs="仿宋_GB2312" w:eastAsia="仿宋_GB2312"/>
                      <w:sz w:val="21"/>
                    </w:rPr>
                    <w:t>适用场景：接入交换机</w:t>
                  </w:r>
                </w:p>
                <w:p>
                  <w:pPr>
                    <w:pStyle w:val="null3"/>
                    <w:jc w:val="left"/>
                  </w:pPr>
                  <w:r>
                    <w:rPr>
                      <w:rFonts w:ascii="仿宋_GB2312" w:hAnsi="仿宋_GB2312" w:cs="仿宋_GB2312" w:eastAsia="仿宋_GB2312"/>
                      <w:sz w:val="21"/>
                    </w:rPr>
                    <w:t>外壳材质：金属</w:t>
                  </w:r>
                </w:p>
                <w:p>
                  <w:pPr>
                    <w:pStyle w:val="null3"/>
                    <w:jc w:val="left"/>
                  </w:pPr>
                  <w:r>
                    <w:rPr>
                      <w:rFonts w:ascii="仿宋_GB2312" w:hAnsi="仿宋_GB2312" w:cs="仿宋_GB2312" w:eastAsia="仿宋_GB2312"/>
                      <w:sz w:val="21"/>
                    </w:rPr>
                    <w:t>端口带宽：每端口双向传输速率</w:t>
                  </w:r>
                  <w:r>
                    <w:rPr>
                      <w:rFonts w:ascii="仿宋_GB2312" w:hAnsi="仿宋_GB2312" w:cs="仿宋_GB2312" w:eastAsia="仿宋_GB2312"/>
                      <w:sz w:val="21"/>
                    </w:rPr>
                    <w:t>≥</w:t>
                  </w:r>
                  <w:r>
                    <w:rPr>
                      <w:rFonts w:ascii="仿宋_GB2312" w:hAnsi="仿宋_GB2312" w:cs="仿宋_GB2312" w:eastAsia="仿宋_GB2312"/>
                      <w:sz w:val="21"/>
                    </w:rPr>
                    <w:t>2000Mbps</w:t>
                  </w:r>
                </w:p>
              </w:tc>
              <w:tc>
                <w:tcPr>
                  <w:tcW w:type="dxa" w:w="239"/>
                  <w:tcBorders>
                    <w:top w:val="none" w:color="000000" w:sz="4"/>
                    <w:left w:val="none" w:color="000000" w:sz="4"/>
                    <w:bottom w:val="single" w:color="000000" w:sz="4"/>
                    <w:right w:val="single" w:color="000000" w:sz="4"/>
                  </w:tcBorders>
                  <w:tcMar>
                    <w:top w:type="dxa" w:w="0"/>
                    <w:left w:type="dxa" w:w="30"/>
                    <w:bottom w:type="dxa" w:w="0"/>
                    <w:right w:type="dxa" w:w="30"/>
                  </w:tcMar>
                </w:tcPr>
                <w:p>
                  <w:pPr>
                    <w:pStyle w:val="null3"/>
                    <w:spacing w:before="120"/>
                    <w:jc w:val="center"/>
                  </w:pPr>
                  <w:r>
                    <w:rPr>
                      <w:rFonts w:ascii="仿宋_GB2312" w:hAnsi="仿宋_GB2312" w:cs="仿宋_GB2312" w:eastAsia="仿宋_GB2312"/>
                      <w:sz w:val="21"/>
                    </w:rPr>
                    <w:t>1</w:t>
                  </w:r>
                  <w:r>
                    <w:rPr>
                      <w:rFonts w:ascii="仿宋_GB2312" w:hAnsi="仿宋_GB2312" w:cs="仿宋_GB2312" w:eastAsia="仿宋_GB2312"/>
                      <w:sz w:val="21"/>
                    </w:rPr>
                    <w:t>台</w:t>
                  </w:r>
                </w:p>
              </w:tc>
            </w:tr>
            <w:tr>
              <w:tc>
                <w:tcPr>
                  <w:tcW w:type="dxa" w:w="174"/>
                  <w:tcBorders>
                    <w:top w:val="none" w:color="000000" w:sz="4"/>
                    <w:left w:val="single" w:color="000000" w:sz="4"/>
                    <w:bottom w:val="single" w:color="000000" w:sz="4"/>
                    <w:right w:val="none" w:color="000000" w:sz="4"/>
                  </w:tcBorders>
                  <w:tcMar>
                    <w:top w:type="dxa" w:w="0"/>
                    <w:left w:type="dxa" w:w="30"/>
                    <w:bottom w:type="dxa" w:w="0"/>
                    <w:right w:type="dxa" w:w="30"/>
                  </w:tcMar>
                </w:tcPr>
                <w:p>
                  <w:pPr>
                    <w:pStyle w:val="null3"/>
                    <w:numPr>
                      <w:ilvl w:val="0"/>
                      <w:numId w:val="1"/>
                    </w:numPr>
                    <w:jc w:val="both"/>
                  </w:pPr>
                </w:p>
              </w:tc>
              <w:tc>
                <w:tcPr>
                  <w:tcW w:type="dxa" w:w="267"/>
                  <w:tcBorders>
                    <w:top w:val="none" w:color="000000" w:sz="4"/>
                    <w:left w:val="single" w:color="000000" w:sz="4"/>
                    <w:bottom w:val="single" w:color="000000" w:sz="4"/>
                    <w:right w:val="single" w:color="000000" w:sz="4"/>
                  </w:tcBorders>
                  <w:tcMar>
                    <w:top w:type="dxa" w:w="0"/>
                    <w:left w:type="dxa" w:w="30"/>
                    <w:bottom w:type="dxa" w:w="0"/>
                    <w:right w:type="dxa" w:w="30"/>
                  </w:tcMar>
                </w:tcPr>
                <w:p>
                  <w:pPr>
                    <w:pStyle w:val="null3"/>
                    <w:spacing w:before="120"/>
                    <w:jc w:val="center"/>
                  </w:pPr>
                  <w:r>
                    <w:rPr>
                      <w:rFonts w:ascii="仿宋_GB2312" w:hAnsi="仿宋_GB2312" w:cs="仿宋_GB2312" w:eastAsia="仿宋_GB2312"/>
                      <w:sz w:val="21"/>
                    </w:rPr>
                    <w:t>教研工作终端</w:t>
                  </w:r>
                </w:p>
              </w:tc>
              <w:tc>
                <w:tcPr>
                  <w:tcW w:type="dxa" w:w="1868"/>
                  <w:tcBorders>
                    <w:top w:val="none" w:color="000000" w:sz="4"/>
                    <w:left w:val="none" w:color="000000" w:sz="4"/>
                    <w:bottom w:val="single" w:color="000000" w:sz="4"/>
                    <w:right w:val="single" w:color="000000" w:sz="4"/>
                  </w:tcBorders>
                  <w:tcMar>
                    <w:top w:type="dxa" w:w="0"/>
                    <w:left w:type="dxa" w:w="30"/>
                    <w:bottom w:type="dxa" w:w="0"/>
                    <w:right w:type="dxa" w:w="30"/>
                  </w:tcMar>
                </w:tcPr>
                <w:p>
                  <w:pPr>
                    <w:pStyle w:val="null3"/>
                    <w:jc w:val="both"/>
                  </w:pPr>
                  <w:r>
                    <w:rPr>
                      <w:rFonts w:ascii="仿宋_GB2312" w:hAnsi="仿宋_GB2312" w:cs="仿宋_GB2312" w:eastAsia="仿宋_GB2312"/>
                      <w:sz w:val="21"/>
                    </w:rPr>
                    <w:t>处理器：</w:t>
                  </w:r>
                  <w:r>
                    <w:rPr>
                      <w:rFonts w:ascii="仿宋_GB2312" w:hAnsi="仿宋_GB2312" w:cs="仿宋_GB2312" w:eastAsia="仿宋_GB2312"/>
                      <w:sz w:val="21"/>
                    </w:rPr>
                    <w:t>≥8核 12线程 睿频3.3GHz</w:t>
                  </w:r>
                </w:p>
                <w:p>
                  <w:pPr>
                    <w:pStyle w:val="null3"/>
                    <w:jc w:val="both"/>
                  </w:pPr>
                  <w:r>
                    <w:rPr>
                      <w:rFonts w:ascii="仿宋_GB2312" w:hAnsi="仿宋_GB2312" w:cs="仿宋_GB2312" w:eastAsia="仿宋_GB2312"/>
                      <w:sz w:val="21"/>
                    </w:rPr>
                    <w:t>内存：≥16GB；</w:t>
                  </w:r>
                </w:p>
                <w:p>
                  <w:pPr>
                    <w:pStyle w:val="null3"/>
                    <w:jc w:val="left"/>
                  </w:pPr>
                  <w:r>
                    <w:rPr>
                      <w:rFonts w:ascii="仿宋_GB2312" w:hAnsi="仿宋_GB2312" w:cs="仿宋_GB2312" w:eastAsia="仿宋_GB2312"/>
                      <w:sz w:val="21"/>
                    </w:rPr>
                    <w:t>独立显存：</w:t>
                  </w:r>
                  <w:r>
                    <w:rPr>
                      <w:rFonts w:ascii="仿宋_GB2312" w:hAnsi="仿宋_GB2312" w:cs="仿宋_GB2312" w:eastAsia="仿宋_GB2312"/>
                      <w:sz w:val="21"/>
                      <w:color w:val="000000"/>
                    </w:rPr>
                    <w:t>≥</w:t>
                  </w:r>
                  <w:r>
                    <w:rPr>
                      <w:rFonts w:ascii="仿宋_GB2312" w:hAnsi="仿宋_GB2312" w:cs="仿宋_GB2312" w:eastAsia="仿宋_GB2312"/>
                      <w:sz w:val="21"/>
                    </w:rPr>
                    <w:t>6GB</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硬盘容量：≥1TB固态硬盘；</w:t>
                  </w:r>
                </w:p>
                <w:p>
                  <w:pPr>
                    <w:pStyle w:val="null3"/>
                    <w:jc w:val="left"/>
                  </w:pPr>
                  <w:r>
                    <w:rPr>
                      <w:rFonts w:ascii="仿宋_GB2312" w:hAnsi="仿宋_GB2312" w:cs="仿宋_GB2312" w:eastAsia="仿宋_GB2312"/>
                      <w:sz w:val="21"/>
                    </w:rPr>
                    <w:t>端口：≥3个外置USB端口，1个RJ45（网络接口），1个耳麦插孔，显卡接口；</w:t>
                  </w:r>
                </w:p>
                <w:p>
                  <w:pPr>
                    <w:pStyle w:val="null3"/>
                    <w:jc w:val="both"/>
                  </w:pPr>
                  <w:r>
                    <w:rPr>
                      <w:rFonts w:ascii="仿宋_GB2312" w:hAnsi="仿宋_GB2312" w:cs="仿宋_GB2312" w:eastAsia="仿宋_GB2312"/>
                      <w:sz w:val="21"/>
                      <w:color w:val="000000"/>
                    </w:rPr>
                    <w:t>电源：固定电源≥500W；</w:t>
                  </w:r>
                </w:p>
              </w:tc>
              <w:tc>
                <w:tcPr>
                  <w:tcW w:type="dxa" w:w="239"/>
                  <w:tcBorders>
                    <w:top w:val="none" w:color="000000" w:sz="4"/>
                    <w:left w:val="none" w:color="000000" w:sz="4"/>
                    <w:bottom w:val="single" w:color="000000" w:sz="4"/>
                    <w:right w:val="single" w:color="000000" w:sz="4"/>
                  </w:tcBorders>
                  <w:tcMar>
                    <w:top w:type="dxa" w:w="0"/>
                    <w:left w:type="dxa" w:w="30"/>
                    <w:bottom w:type="dxa" w:w="0"/>
                    <w:right w:type="dxa" w:w="30"/>
                  </w:tcMar>
                </w:tcPr>
                <w:p>
                  <w:pPr>
                    <w:pStyle w:val="null3"/>
                    <w:spacing w:before="120"/>
                    <w:jc w:val="center"/>
                  </w:pPr>
                  <w:r>
                    <w:rPr>
                      <w:rFonts w:ascii="仿宋_GB2312" w:hAnsi="仿宋_GB2312" w:cs="仿宋_GB2312" w:eastAsia="仿宋_GB2312"/>
                      <w:sz w:val="21"/>
                    </w:rPr>
                    <w:t>9</w:t>
                  </w:r>
                  <w:r>
                    <w:rPr>
                      <w:rFonts w:ascii="仿宋_GB2312" w:hAnsi="仿宋_GB2312" w:cs="仿宋_GB2312" w:eastAsia="仿宋_GB2312"/>
                      <w:sz w:val="21"/>
                    </w:rPr>
                    <w:t>台</w:t>
                  </w:r>
                </w:p>
              </w:tc>
            </w:tr>
            <w:tr>
              <w:tc>
                <w:tcPr>
                  <w:tcW w:type="dxa" w:w="174"/>
                  <w:tcBorders>
                    <w:top w:val="none" w:color="000000" w:sz="4"/>
                    <w:left w:val="single" w:color="000000" w:sz="4"/>
                    <w:bottom w:val="single" w:color="000000" w:sz="4"/>
                    <w:right w:val="none" w:color="000000" w:sz="4"/>
                  </w:tcBorders>
                  <w:tcMar>
                    <w:top w:type="dxa" w:w="0"/>
                    <w:left w:type="dxa" w:w="30"/>
                    <w:bottom w:type="dxa" w:w="0"/>
                    <w:right w:type="dxa" w:w="30"/>
                  </w:tcMar>
                </w:tcPr>
                <w:p>
                  <w:pPr>
                    <w:pStyle w:val="null3"/>
                    <w:numPr>
                      <w:ilvl w:val="0"/>
                      <w:numId w:val="1"/>
                    </w:numPr>
                    <w:jc w:val="both"/>
                  </w:pPr>
                </w:p>
              </w:tc>
              <w:tc>
                <w:tcPr>
                  <w:tcW w:type="dxa" w:w="267"/>
                  <w:tcBorders>
                    <w:top w:val="none" w:color="000000" w:sz="4"/>
                    <w:left w:val="single" w:color="000000" w:sz="4"/>
                    <w:bottom w:val="single" w:color="000000" w:sz="4"/>
                    <w:right w:val="single" w:color="000000" w:sz="4"/>
                  </w:tcBorders>
                  <w:tcMar>
                    <w:top w:type="dxa" w:w="0"/>
                    <w:left w:type="dxa" w:w="30"/>
                    <w:bottom w:type="dxa" w:w="0"/>
                    <w:right w:type="dxa" w:w="30"/>
                  </w:tcMar>
                </w:tcPr>
                <w:p>
                  <w:pPr>
                    <w:pStyle w:val="null3"/>
                    <w:spacing w:before="120"/>
                    <w:jc w:val="center"/>
                  </w:pPr>
                  <w:r>
                    <w:rPr>
                      <w:rFonts w:ascii="仿宋_GB2312" w:hAnsi="仿宋_GB2312" w:cs="仿宋_GB2312" w:eastAsia="仿宋_GB2312"/>
                      <w:sz w:val="21"/>
                    </w:rPr>
                    <w:t>办公台</w:t>
                  </w:r>
                </w:p>
              </w:tc>
              <w:tc>
                <w:tcPr>
                  <w:tcW w:type="dxa" w:w="1868"/>
                  <w:tcBorders>
                    <w:top w:val="none" w:color="000000" w:sz="4"/>
                    <w:left w:val="none" w:color="000000" w:sz="4"/>
                    <w:bottom w:val="single" w:color="000000" w:sz="4"/>
                    <w:right w:val="single" w:color="000000" w:sz="4"/>
                  </w:tcBorders>
                  <w:tcMar>
                    <w:top w:type="dxa" w:w="0"/>
                    <w:left w:type="dxa" w:w="30"/>
                    <w:bottom w:type="dxa" w:w="0"/>
                    <w:right w:type="dxa" w:w="30"/>
                  </w:tcMar>
                </w:tcPr>
                <w:p>
                  <w:pPr>
                    <w:pStyle w:val="null3"/>
                    <w:jc w:val="left"/>
                  </w:pPr>
                  <w:r>
                    <w:rPr>
                      <w:rFonts w:ascii="仿宋_GB2312" w:hAnsi="仿宋_GB2312" w:cs="仿宋_GB2312" w:eastAsia="仿宋_GB2312"/>
                      <w:sz w:val="21"/>
                    </w:rPr>
                    <w:t>精选E1级环保板材；</w:t>
                  </w:r>
                </w:p>
                <w:p>
                  <w:pPr>
                    <w:pStyle w:val="null3"/>
                    <w:jc w:val="left"/>
                  </w:pPr>
                  <w:r>
                    <w:rPr>
                      <w:rFonts w:ascii="仿宋_GB2312" w:hAnsi="仿宋_GB2312" w:cs="仿宋_GB2312" w:eastAsia="仿宋_GB2312"/>
                      <w:sz w:val="21"/>
                    </w:rPr>
                    <w:t>环保材料，耐磨，耐冲击</w:t>
                  </w:r>
                </w:p>
                <w:p>
                  <w:pPr>
                    <w:pStyle w:val="null3"/>
                    <w:jc w:val="both"/>
                  </w:pPr>
                  <w:r>
                    <w:rPr>
                      <w:rFonts w:ascii="仿宋_GB2312" w:hAnsi="仿宋_GB2312" w:cs="仿宋_GB2312" w:eastAsia="仿宋_GB2312"/>
                      <w:sz w:val="21"/>
                      <w:color w:val="000000"/>
                    </w:rPr>
                    <w:t>尺寸：</w:t>
                  </w:r>
                  <w:r>
                    <w:rPr>
                      <w:rFonts w:ascii="仿宋_GB2312" w:hAnsi="仿宋_GB2312" w:cs="仿宋_GB2312" w:eastAsia="仿宋_GB2312"/>
                      <w:sz w:val="21"/>
                    </w:rPr>
                    <w:t>≥</w:t>
                  </w:r>
                  <w:r>
                    <w:rPr>
                      <w:rFonts w:ascii="仿宋_GB2312" w:hAnsi="仿宋_GB2312" w:cs="仿宋_GB2312" w:eastAsia="仿宋_GB2312"/>
                      <w:sz w:val="21"/>
                      <w:color w:val="000000"/>
                    </w:rPr>
                    <w:t>2000*1000*750mm</w:t>
                  </w:r>
                  <w:r>
                    <w:rPr>
                      <w:rFonts w:ascii="仿宋_GB2312" w:hAnsi="仿宋_GB2312" w:cs="仿宋_GB2312" w:eastAsia="仿宋_GB2312"/>
                      <w:sz w:val="21"/>
                      <w:color w:val="000000"/>
                    </w:rPr>
                    <w:t>，支持定制</w:t>
                  </w:r>
                </w:p>
              </w:tc>
              <w:tc>
                <w:tcPr>
                  <w:tcW w:type="dxa" w:w="239"/>
                  <w:tcBorders>
                    <w:top w:val="none" w:color="000000" w:sz="4"/>
                    <w:left w:val="none" w:color="000000" w:sz="4"/>
                    <w:bottom w:val="single" w:color="000000" w:sz="4"/>
                    <w:right w:val="single" w:color="000000" w:sz="4"/>
                  </w:tcBorders>
                  <w:tcMar>
                    <w:top w:type="dxa" w:w="0"/>
                    <w:left w:type="dxa" w:w="30"/>
                    <w:bottom w:type="dxa" w:w="0"/>
                    <w:right w:type="dxa" w:w="30"/>
                  </w:tcMar>
                </w:tcPr>
                <w:p>
                  <w:pPr>
                    <w:pStyle w:val="null3"/>
                    <w:spacing w:before="120"/>
                    <w:jc w:val="center"/>
                  </w:pPr>
                  <w:r>
                    <w:rPr>
                      <w:rFonts w:ascii="仿宋_GB2312" w:hAnsi="仿宋_GB2312" w:cs="仿宋_GB2312" w:eastAsia="仿宋_GB2312"/>
                      <w:sz w:val="21"/>
                    </w:rPr>
                    <w:t>4</w:t>
                  </w:r>
                  <w:r>
                    <w:rPr>
                      <w:rFonts w:ascii="仿宋_GB2312" w:hAnsi="仿宋_GB2312" w:cs="仿宋_GB2312" w:eastAsia="仿宋_GB2312"/>
                      <w:sz w:val="21"/>
                    </w:rPr>
                    <w:t>张</w:t>
                  </w:r>
                </w:p>
              </w:tc>
            </w:tr>
            <w:tr>
              <w:tc>
                <w:tcPr>
                  <w:tcW w:type="dxa" w:w="174"/>
                  <w:tcBorders>
                    <w:top w:val="none" w:color="000000" w:sz="4"/>
                    <w:left w:val="single" w:color="000000" w:sz="4"/>
                    <w:bottom w:val="single" w:color="000000" w:sz="4"/>
                    <w:right w:val="none" w:color="000000" w:sz="4"/>
                  </w:tcBorders>
                  <w:tcMar>
                    <w:top w:type="dxa" w:w="0"/>
                    <w:left w:type="dxa" w:w="30"/>
                    <w:bottom w:type="dxa" w:w="0"/>
                    <w:right w:type="dxa" w:w="30"/>
                  </w:tcMar>
                </w:tcPr>
                <w:p>
                  <w:pPr>
                    <w:pStyle w:val="null3"/>
                    <w:numPr>
                      <w:ilvl w:val="0"/>
                      <w:numId w:val="1"/>
                    </w:numPr>
                    <w:jc w:val="both"/>
                  </w:pPr>
                </w:p>
              </w:tc>
              <w:tc>
                <w:tcPr>
                  <w:tcW w:type="dxa" w:w="267"/>
                  <w:tcBorders>
                    <w:top w:val="none" w:color="000000" w:sz="4"/>
                    <w:left w:val="single" w:color="000000" w:sz="4"/>
                    <w:bottom w:val="single" w:color="000000" w:sz="4"/>
                    <w:right w:val="single" w:color="000000" w:sz="4"/>
                  </w:tcBorders>
                  <w:tcMar>
                    <w:top w:type="dxa" w:w="0"/>
                    <w:left w:type="dxa" w:w="30"/>
                    <w:bottom w:type="dxa" w:w="0"/>
                    <w:right w:type="dxa" w:w="30"/>
                  </w:tcMar>
                </w:tcPr>
                <w:p>
                  <w:pPr>
                    <w:pStyle w:val="null3"/>
                    <w:spacing w:before="120"/>
                    <w:jc w:val="center"/>
                  </w:pPr>
                  <w:r>
                    <w:rPr>
                      <w:rFonts w:ascii="仿宋_GB2312" w:hAnsi="仿宋_GB2312" w:cs="仿宋_GB2312" w:eastAsia="仿宋_GB2312"/>
                      <w:sz w:val="21"/>
                    </w:rPr>
                    <w:t>办公椅</w:t>
                  </w:r>
                </w:p>
              </w:tc>
              <w:tc>
                <w:tcPr>
                  <w:tcW w:type="dxa" w:w="1868"/>
                  <w:tcBorders>
                    <w:top w:val="none" w:color="000000" w:sz="4"/>
                    <w:left w:val="none" w:color="000000" w:sz="4"/>
                    <w:bottom w:val="single" w:color="000000" w:sz="4"/>
                    <w:right w:val="single" w:color="000000" w:sz="4"/>
                  </w:tcBorders>
                  <w:tcMar>
                    <w:top w:type="dxa" w:w="0"/>
                    <w:left w:type="dxa" w:w="30"/>
                    <w:bottom w:type="dxa" w:w="0"/>
                    <w:right w:type="dxa" w:w="30"/>
                  </w:tcMar>
                </w:tcPr>
                <w:p>
                  <w:pPr>
                    <w:pStyle w:val="null3"/>
                    <w:jc w:val="left"/>
                  </w:pPr>
                  <w:r>
                    <w:rPr>
                      <w:rFonts w:ascii="仿宋_GB2312" w:hAnsi="仿宋_GB2312" w:cs="仿宋_GB2312" w:eastAsia="仿宋_GB2312"/>
                      <w:sz w:val="21"/>
                    </w:rPr>
                    <w:t>椅背腰靠支撑符合人体工程学</w:t>
                  </w:r>
                </w:p>
                <w:p>
                  <w:pPr>
                    <w:pStyle w:val="null3"/>
                    <w:jc w:val="left"/>
                  </w:pPr>
                  <w:r>
                    <w:rPr>
                      <w:rFonts w:ascii="仿宋_GB2312" w:hAnsi="仿宋_GB2312" w:cs="仿宋_GB2312" w:eastAsia="仿宋_GB2312"/>
                      <w:sz w:val="21"/>
                    </w:rPr>
                    <w:t>环保材料，耐磨，耐冲击</w:t>
                  </w:r>
                </w:p>
                <w:p>
                  <w:pPr>
                    <w:pStyle w:val="null3"/>
                    <w:jc w:val="left"/>
                  </w:pPr>
                  <w:r>
                    <w:rPr>
                      <w:rFonts w:ascii="仿宋_GB2312" w:hAnsi="仿宋_GB2312" w:cs="仿宋_GB2312" w:eastAsia="仿宋_GB2312"/>
                      <w:sz w:val="21"/>
                    </w:rPr>
                    <w:t>高密度回弹海绵</w:t>
                  </w:r>
                </w:p>
                <w:p>
                  <w:pPr>
                    <w:pStyle w:val="null3"/>
                    <w:jc w:val="left"/>
                  </w:pPr>
                  <w:r>
                    <w:rPr>
                      <w:rFonts w:ascii="仿宋_GB2312" w:hAnsi="仿宋_GB2312" w:cs="仿宋_GB2312" w:eastAsia="仿宋_GB2312"/>
                      <w:sz w:val="21"/>
                    </w:rPr>
                    <w:t>塑胶防滑脚垫</w:t>
                  </w:r>
                </w:p>
              </w:tc>
              <w:tc>
                <w:tcPr>
                  <w:tcW w:type="dxa" w:w="239"/>
                  <w:tcBorders>
                    <w:top w:val="none" w:color="000000" w:sz="4"/>
                    <w:left w:val="none" w:color="000000" w:sz="4"/>
                    <w:bottom w:val="single" w:color="000000" w:sz="4"/>
                    <w:right w:val="single" w:color="000000" w:sz="4"/>
                  </w:tcBorders>
                  <w:tcMar>
                    <w:top w:type="dxa" w:w="0"/>
                    <w:left w:type="dxa" w:w="30"/>
                    <w:bottom w:type="dxa" w:w="0"/>
                    <w:right w:type="dxa" w:w="30"/>
                  </w:tcMar>
                </w:tcPr>
                <w:p>
                  <w:pPr>
                    <w:pStyle w:val="null3"/>
                    <w:spacing w:before="120"/>
                    <w:jc w:val="center"/>
                  </w:pPr>
                  <w:r>
                    <w:rPr>
                      <w:rFonts w:ascii="仿宋_GB2312" w:hAnsi="仿宋_GB2312" w:cs="仿宋_GB2312" w:eastAsia="仿宋_GB2312"/>
                      <w:sz w:val="21"/>
                    </w:rPr>
                    <w:t>16</w:t>
                  </w:r>
                  <w:r>
                    <w:rPr>
                      <w:rFonts w:ascii="仿宋_GB2312" w:hAnsi="仿宋_GB2312" w:cs="仿宋_GB2312" w:eastAsia="仿宋_GB2312"/>
                      <w:sz w:val="21"/>
                    </w:rPr>
                    <w:t>把</w:t>
                  </w:r>
                </w:p>
              </w:tc>
            </w:tr>
            <w:tr>
              <w:tc>
                <w:tcPr>
                  <w:tcW w:type="dxa" w:w="174"/>
                  <w:tcBorders>
                    <w:top w:val="none" w:color="000000" w:sz="4"/>
                    <w:left w:val="single" w:color="000000" w:sz="4"/>
                    <w:bottom w:val="single" w:color="000000" w:sz="4"/>
                    <w:right w:val="none" w:color="000000" w:sz="4"/>
                  </w:tcBorders>
                  <w:tcMar>
                    <w:top w:type="dxa" w:w="0"/>
                    <w:left w:type="dxa" w:w="30"/>
                    <w:bottom w:type="dxa" w:w="0"/>
                    <w:right w:type="dxa" w:w="30"/>
                  </w:tcMar>
                </w:tcPr>
                <w:p>
                  <w:pPr>
                    <w:pStyle w:val="null3"/>
                    <w:numPr>
                      <w:ilvl w:val="0"/>
                      <w:numId w:val="1"/>
                    </w:numPr>
                    <w:jc w:val="both"/>
                  </w:pPr>
                </w:p>
              </w:tc>
              <w:tc>
                <w:tcPr>
                  <w:tcW w:type="dxa" w:w="267"/>
                  <w:tcBorders>
                    <w:top w:val="none" w:color="000000" w:sz="4"/>
                    <w:left w:val="single" w:color="000000" w:sz="4"/>
                    <w:bottom w:val="single" w:color="000000" w:sz="4"/>
                    <w:right w:val="single" w:color="000000" w:sz="4"/>
                  </w:tcBorders>
                  <w:tcMar>
                    <w:top w:type="dxa" w:w="0"/>
                    <w:left w:type="dxa" w:w="30"/>
                    <w:bottom w:type="dxa" w:w="0"/>
                    <w:right w:type="dxa" w:w="30"/>
                  </w:tcMar>
                </w:tcPr>
                <w:p>
                  <w:pPr>
                    <w:pStyle w:val="null3"/>
                    <w:spacing w:before="120"/>
                    <w:jc w:val="center"/>
                  </w:pPr>
                  <w:r>
                    <w:rPr>
                      <w:rFonts w:ascii="仿宋_GB2312" w:hAnsi="仿宋_GB2312" w:cs="仿宋_GB2312" w:eastAsia="仿宋_GB2312"/>
                      <w:sz w:val="21"/>
                    </w:rPr>
                    <w:t>教师桌</w:t>
                  </w:r>
                </w:p>
              </w:tc>
              <w:tc>
                <w:tcPr>
                  <w:tcW w:type="dxa" w:w="1868"/>
                  <w:tcBorders>
                    <w:top w:val="none" w:color="000000" w:sz="4"/>
                    <w:left w:val="none" w:color="000000" w:sz="4"/>
                    <w:bottom w:val="single" w:color="000000" w:sz="4"/>
                    <w:right w:val="single" w:color="000000" w:sz="4"/>
                  </w:tcBorders>
                  <w:tcMar>
                    <w:top w:type="dxa" w:w="0"/>
                    <w:left w:type="dxa" w:w="30"/>
                    <w:bottom w:type="dxa" w:w="0"/>
                    <w:right w:type="dxa" w:w="30"/>
                  </w:tcMar>
                </w:tcPr>
                <w:p>
                  <w:pPr>
                    <w:pStyle w:val="null3"/>
                    <w:jc w:val="left"/>
                  </w:pPr>
                  <w:r>
                    <w:rPr>
                      <w:rFonts w:ascii="仿宋_GB2312" w:hAnsi="仿宋_GB2312" w:cs="仿宋_GB2312" w:eastAsia="仿宋_GB2312"/>
                      <w:sz w:val="21"/>
                      <w:color w:val="000000"/>
                    </w:rPr>
                    <w:t>精选E1级环保板材；</w:t>
                  </w:r>
                </w:p>
                <w:p>
                  <w:pPr>
                    <w:pStyle w:val="null3"/>
                    <w:jc w:val="left"/>
                  </w:pPr>
                  <w:r>
                    <w:rPr>
                      <w:rFonts w:ascii="仿宋_GB2312" w:hAnsi="仿宋_GB2312" w:cs="仿宋_GB2312" w:eastAsia="仿宋_GB2312"/>
                      <w:sz w:val="21"/>
                      <w:color w:val="000000"/>
                    </w:rPr>
                    <w:t>烤漆钢架；</w:t>
                  </w:r>
                </w:p>
                <w:p>
                  <w:pPr>
                    <w:pStyle w:val="null3"/>
                    <w:jc w:val="both"/>
                  </w:pPr>
                  <w:r>
                    <w:rPr>
                      <w:rFonts w:ascii="仿宋_GB2312" w:hAnsi="仿宋_GB2312" w:cs="仿宋_GB2312" w:eastAsia="仿宋_GB2312"/>
                      <w:sz w:val="21"/>
                      <w:color w:val="000000"/>
                    </w:rPr>
                    <w:t>尺寸：</w:t>
                  </w:r>
                  <w:r>
                    <w:rPr>
                      <w:rFonts w:ascii="仿宋_GB2312" w:hAnsi="仿宋_GB2312" w:cs="仿宋_GB2312" w:eastAsia="仿宋_GB2312"/>
                      <w:sz w:val="21"/>
                    </w:rPr>
                    <w:t>≥</w:t>
                  </w:r>
                  <w:r>
                    <w:rPr>
                      <w:rFonts w:ascii="仿宋_GB2312" w:hAnsi="仿宋_GB2312" w:cs="仿宋_GB2312" w:eastAsia="仿宋_GB2312"/>
                      <w:sz w:val="21"/>
                      <w:color w:val="000000"/>
                    </w:rPr>
                    <w:t>1200*600*750mm</w:t>
                  </w:r>
                </w:p>
              </w:tc>
              <w:tc>
                <w:tcPr>
                  <w:tcW w:type="dxa" w:w="239"/>
                  <w:tcBorders>
                    <w:top w:val="none" w:color="000000" w:sz="4"/>
                    <w:left w:val="none" w:color="000000" w:sz="4"/>
                    <w:bottom w:val="single" w:color="000000" w:sz="4"/>
                    <w:right w:val="single" w:color="000000" w:sz="4"/>
                  </w:tcBorders>
                  <w:tcMar>
                    <w:top w:type="dxa" w:w="0"/>
                    <w:left w:type="dxa" w:w="30"/>
                    <w:bottom w:type="dxa" w:w="0"/>
                    <w:right w:type="dxa" w:w="30"/>
                  </w:tcMar>
                </w:tcPr>
                <w:p>
                  <w:pPr>
                    <w:pStyle w:val="null3"/>
                    <w:spacing w:before="120"/>
                    <w:jc w:val="center"/>
                  </w:pPr>
                  <w:r>
                    <w:rPr>
                      <w:rFonts w:ascii="仿宋_GB2312" w:hAnsi="仿宋_GB2312" w:cs="仿宋_GB2312" w:eastAsia="仿宋_GB2312"/>
                      <w:sz w:val="21"/>
                    </w:rPr>
                    <w:t>1</w:t>
                  </w:r>
                  <w:r>
                    <w:rPr>
                      <w:rFonts w:ascii="仿宋_GB2312" w:hAnsi="仿宋_GB2312" w:cs="仿宋_GB2312" w:eastAsia="仿宋_GB2312"/>
                      <w:sz w:val="21"/>
                    </w:rPr>
                    <w:t>张</w:t>
                  </w:r>
                </w:p>
              </w:tc>
            </w:tr>
            <w:tr>
              <w:tc>
                <w:tcPr>
                  <w:tcW w:type="dxa" w:w="174"/>
                  <w:tcBorders>
                    <w:top w:val="none" w:color="000000" w:sz="4"/>
                    <w:left w:val="single" w:color="000000" w:sz="4"/>
                    <w:bottom w:val="single" w:color="000000" w:sz="4"/>
                    <w:right w:val="none" w:color="000000" w:sz="4"/>
                  </w:tcBorders>
                  <w:tcMar>
                    <w:top w:type="dxa" w:w="0"/>
                    <w:left w:type="dxa" w:w="30"/>
                    <w:bottom w:type="dxa" w:w="0"/>
                    <w:right w:type="dxa" w:w="30"/>
                  </w:tcMar>
                </w:tcPr>
                <w:p>
                  <w:pPr>
                    <w:pStyle w:val="null3"/>
                    <w:numPr>
                      <w:ilvl w:val="0"/>
                      <w:numId w:val="1"/>
                    </w:numPr>
                    <w:jc w:val="both"/>
                  </w:pPr>
                </w:p>
              </w:tc>
              <w:tc>
                <w:tcPr>
                  <w:tcW w:type="dxa" w:w="267"/>
                  <w:tcBorders>
                    <w:top w:val="none" w:color="000000" w:sz="4"/>
                    <w:left w:val="single" w:color="000000" w:sz="4"/>
                    <w:bottom w:val="single" w:color="000000" w:sz="4"/>
                    <w:right w:val="single" w:color="000000" w:sz="4"/>
                  </w:tcBorders>
                  <w:tcMar>
                    <w:top w:type="dxa" w:w="0"/>
                    <w:left w:type="dxa" w:w="30"/>
                    <w:bottom w:type="dxa" w:w="0"/>
                    <w:right w:type="dxa" w:w="30"/>
                  </w:tcMar>
                </w:tcPr>
                <w:p>
                  <w:pPr>
                    <w:pStyle w:val="null3"/>
                    <w:spacing w:before="120"/>
                    <w:jc w:val="center"/>
                  </w:pPr>
                  <w:r>
                    <w:rPr>
                      <w:rFonts w:ascii="仿宋_GB2312" w:hAnsi="仿宋_GB2312" w:cs="仿宋_GB2312" w:eastAsia="仿宋_GB2312"/>
                      <w:sz w:val="21"/>
                    </w:rPr>
                    <w:t>教师椅</w:t>
                  </w:r>
                </w:p>
              </w:tc>
              <w:tc>
                <w:tcPr>
                  <w:tcW w:type="dxa" w:w="1868"/>
                  <w:tcBorders>
                    <w:top w:val="none" w:color="000000" w:sz="4"/>
                    <w:left w:val="none" w:color="000000" w:sz="4"/>
                    <w:bottom w:val="single" w:color="000000" w:sz="4"/>
                    <w:right w:val="single" w:color="000000" w:sz="4"/>
                  </w:tcBorders>
                  <w:tcMar>
                    <w:top w:type="dxa" w:w="0"/>
                    <w:left w:type="dxa" w:w="30"/>
                    <w:bottom w:type="dxa" w:w="0"/>
                    <w:right w:type="dxa" w:w="30"/>
                  </w:tcMar>
                </w:tcPr>
                <w:p>
                  <w:pPr>
                    <w:pStyle w:val="null3"/>
                    <w:jc w:val="both"/>
                  </w:pPr>
                  <w:r>
                    <w:rPr>
                      <w:rFonts w:ascii="仿宋_GB2312" w:hAnsi="仿宋_GB2312" w:cs="仿宋_GB2312" w:eastAsia="仿宋_GB2312"/>
                      <w:sz w:val="21"/>
                    </w:rPr>
                    <w:t>可旋转高级液压转椅、固定扶手、多维调节头枕；</w:t>
                  </w:r>
                </w:p>
                <w:p>
                  <w:pPr>
                    <w:pStyle w:val="null3"/>
                    <w:jc w:val="both"/>
                  </w:pPr>
                  <w:r>
                    <w:rPr>
                      <w:rFonts w:ascii="仿宋_GB2312" w:hAnsi="仿宋_GB2312" w:cs="仿宋_GB2312" w:eastAsia="仿宋_GB2312"/>
                      <w:sz w:val="21"/>
                    </w:rPr>
                    <w:t>高弹韧性网布，头枕背椅坐垫，密孔全网覆盖；</w:t>
                  </w:r>
                </w:p>
                <w:p>
                  <w:pPr>
                    <w:pStyle w:val="null3"/>
                    <w:jc w:val="both"/>
                  </w:pPr>
                  <w:r>
                    <w:rPr>
                      <w:rFonts w:ascii="仿宋_GB2312" w:hAnsi="仿宋_GB2312" w:cs="仿宋_GB2312" w:eastAsia="仿宋_GB2312"/>
                      <w:sz w:val="21"/>
                    </w:rPr>
                    <w:t>定型海绵，高回弹原生海棉坐垫；</w:t>
                  </w:r>
                </w:p>
                <w:p>
                  <w:pPr>
                    <w:pStyle w:val="null3"/>
                    <w:jc w:val="both"/>
                  </w:pPr>
                  <w:r>
                    <w:rPr>
                      <w:rFonts w:ascii="仿宋_GB2312" w:hAnsi="仿宋_GB2312" w:cs="仿宋_GB2312" w:eastAsia="仿宋_GB2312"/>
                      <w:sz w:val="21"/>
                    </w:rPr>
                    <w:t>工学可扭转椅背，悬式弹性腰靠，符合人体工学，后仰安全锁定；</w:t>
                  </w:r>
                </w:p>
                <w:p>
                  <w:pPr>
                    <w:pStyle w:val="null3"/>
                    <w:jc w:val="both"/>
                  </w:pPr>
                  <w:r>
                    <w:rPr>
                      <w:rFonts w:ascii="仿宋_GB2312" w:hAnsi="仿宋_GB2312" w:cs="仿宋_GB2312" w:eastAsia="仿宋_GB2312"/>
                      <w:sz w:val="21"/>
                    </w:rPr>
                    <w:t>钢制承重结构，加固防爆托盘。</w:t>
                  </w:r>
                </w:p>
              </w:tc>
              <w:tc>
                <w:tcPr>
                  <w:tcW w:type="dxa" w:w="239"/>
                  <w:tcBorders>
                    <w:top w:val="none" w:color="000000" w:sz="4"/>
                    <w:left w:val="none" w:color="000000" w:sz="4"/>
                    <w:bottom w:val="single" w:color="000000" w:sz="4"/>
                    <w:right w:val="single" w:color="000000" w:sz="4"/>
                  </w:tcBorders>
                  <w:tcMar>
                    <w:top w:type="dxa" w:w="0"/>
                    <w:left w:type="dxa" w:w="30"/>
                    <w:bottom w:type="dxa" w:w="0"/>
                    <w:right w:type="dxa" w:w="30"/>
                  </w:tcMar>
                </w:tcPr>
                <w:p>
                  <w:pPr>
                    <w:pStyle w:val="null3"/>
                    <w:spacing w:before="120"/>
                    <w:jc w:val="center"/>
                  </w:pPr>
                  <w:r>
                    <w:rPr>
                      <w:rFonts w:ascii="仿宋_GB2312" w:hAnsi="仿宋_GB2312" w:cs="仿宋_GB2312" w:eastAsia="仿宋_GB2312"/>
                      <w:sz w:val="21"/>
                    </w:rPr>
                    <w:t>1</w:t>
                  </w:r>
                  <w:r>
                    <w:rPr>
                      <w:rFonts w:ascii="仿宋_GB2312" w:hAnsi="仿宋_GB2312" w:cs="仿宋_GB2312" w:eastAsia="仿宋_GB2312"/>
                      <w:sz w:val="21"/>
                    </w:rPr>
                    <w:t>把</w:t>
                  </w:r>
                </w:p>
              </w:tc>
            </w:tr>
            <w:tr>
              <w:tc>
                <w:tcPr>
                  <w:tcW w:type="dxa" w:w="174"/>
                  <w:tcBorders>
                    <w:top w:val="none" w:color="000000" w:sz="4"/>
                    <w:left w:val="single" w:color="000000" w:sz="4"/>
                    <w:bottom w:val="single" w:color="000000" w:sz="4"/>
                    <w:right w:val="none" w:color="000000" w:sz="4"/>
                  </w:tcBorders>
                  <w:tcMar>
                    <w:top w:type="dxa" w:w="0"/>
                    <w:left w:type="dxa" w:w="30"/>
                    <w:bottom w:type="dxa" w:w="0"/>
                    <w:right w:type="dxa" w:w="30"/>
                  </w:tcMar>
                </w:tcPr>
                <w:p>
                  <w:pPr>
                    <w:pStyle w:val="null3"/>
                    <w:numPr>
                      <w:ilvl w:val="0"/>
                      <w:numId w:val="1"/>
                    </w:numPr>
                    <w:jc w:val="both"/>
                  </w:pPr>
                </w:p>
              </w:tc>
              <w:tc>
                <w:tcPr>
                  <w:tcW w:type="dxa" w:w="267"/>
                  <w:tcBorders>
                    <w:top w:val="none" w:color="000000" w:sz="4"/>
                    <w:left w:val="single" w:color="000000" w:sz="4"/>
                    <w:bottom w:val="single" w:color="000000" w:sz="4"/>
                    <w:right w:val="single" w:color="000000" w:sz="4"/>
                  </w:tcBorders>
                  <w:tcMar>
                    <w:top w:type="dxa" w:w="0"/>
                    <w:left w:type="dxa" w:w="30"/>
                    <w:bottom w:type="dxa" w:w="0"/>
                    <w:right w:type="dxa" w:w="30"/>
                  </w:tcMar>
                </w:tcPr>
                <w:p>
                  <w:pPr>
                    <w:pStyle w:val="null3"/>
                    <w:spacing w:before="120"/>
                    <w:jc w:val="center"/>
                  </w:pPr>
                  <w:r>
                    <w:rPr>
                      <w:rFonts w:ascii="仿宋_GB2312" w:hAnsi="仿宋_GB2312" w:cs="仿宋_GB2312" w:eastAsia="仿宋_GB2312"/>
                      <w:sz w:val="21"/>
                    </w:rPr>
                    <w:t>无人机</w:t>
                  </w:r>
                </w:p>
              </w:tc>
              <w:tc>
                <w:tcPr>
                  <w:tcW w:type="dxa" w:w="1868"/>
                  <w:tcBorders>
                    <w:top w:val="none" w:color="000000" w:sz="4"/>
                    <w:left w:val="none" w:color="000000" w:sz="4"/>
                    <w:bottom w:val="single" w:color="000000" w:sz="4"/>
                    <w:right w:val="single" w:color="000000" w:sz="4"/>
                  </w:tcBorders>
                  <w:tcMar>
                    <w:top w:type="dxa" w:w="0"/>
                    <w:left w:type="dxa" w:w="30"/>
                    <w:bottom w:type="dxa" w:w="0"/>
                    <w:right w:type="dxa" w:w="30"/>
                  </w:tcMar>
                </w:tcPr>
                <w:p>
                  <w:pPr>
                    <w:pStyle w:val="null3"/>
                    <w:jc w:val="left"/>
                  </w:pPr>
                  <w:r>
                    <w:rPr>
                      <w:rFonts w:ascii="仿宋_GB2312" w:hAnsi="仿宋_GB2312" w:cs="仿宋_GB2312" w:eastAsia="仿宋_GB2312"/>
                      <w:sz w:val="21"/>
                    </w:rPr>
                    <w:t>展开尺寸（含桨叶）：≤250×290×60 mm（长×宽×高）</w:t>
                  </w:r>
                </w:p>
                <w:p>
                  <w:pPr>
                    <w:pStyle w:val="null3"/>
                    <w:jc w:val="left"/>
                  </w:pPr>
                  <w:r>
                    <w:rPr>
                      <w:rFonts w:ascii="仿宋_GB2312" w:hAnsi="仿宋_GB2312" w:cs="仿宋_GB2312" w:eastAsia="仿宋_GB2312"/>
                      <w:sz w:val="21"/>
                    </w:rPr>
                    <w:t>最大上升速度：≥5 m/s（运动档）</w:t>
                  </w:r>
                </w:p>
                <w:p>
                  <w:pPr>
                    <w:pStyle w:val="null3"/>
                    <w:jc w:val="left"/>
                  </w:pPr>
                  <w:r>
                    <w:rPr>
                      <w:rFonts w:ascii="仿宋_GB2312" w:hAnsi="仿宋_GB2312" w:cs="仿宋_GB2312" w:eastAsia="仿宋_GB2312"/>
                      <w:sz w:val="21"/>
                    </w:rPr>
                    <w:t>最大下降速度：≥3.5 m/s（运动档）</w:t>
                  </w:r>
                </w:p>
                <w:p>
                  <w:pPr>
                    <w:pStyle w:val="null3"/>
                    <w:jc w:val="left"/>
                  </w:pPr>
                  <w:r>
                    <w:rPr>
                      <w:rFonts w:ascii="仿宋_GB2312" w:hAnsi="仿宋_GB2312" w:cs="仿宋_GB2312" w:eastAsia="仿宋_GB2312"/>
                      <w:sz w:val="21"/>
                    </w:rPr>
                    <w:t>最大水平飞行速度（海平面附近无风情况下）≥16 m/s（运动档）</w:t>
                  </w:r>
                </w:p>
                <w:p>
                  <w:pPr>
                    <w:pStyle w:val="null3"/>
                    <w:jc w:val="left"/>
                  </w:pPr>
                  <w:r>
                    <w:rPr>
                      <w:rFonts w:ascii="仿宋_GB2312" w:hAnsi="仿宋_GB2312" w:cs="仿宋_GB2312" w:eastAsia="仿宋_GB2312"/>
                      <w:sz w:val="21"/>
                    </w:rPr>
                    <w:t>最大起飞海拔高度：4000 m（带桨保最大起飞海拔高度 2000 m）</w:t>
                  </w:r>
                </w:p>
                <w:p>
                  <w:pPr>
                    <w:pStyle w:val="null3"/>
                    <w:jc w:val="left"/>
                  </w:pPr>
                  <w:r>
                    <w:rPr>
                      <w:rFonts w:ascii="仿宋_GB2312" w:hAnsi="仿宋_GB2312" w:cs="仿宋_GB2312" w:eastAsia="仿宋_GB2312"/>
                      <w:sz w:val="21"/>
                    </w:rPr>
                    <w:t>最长飞行时间：31 分钟（无风环境 17 km/h 匀速飞行）</w:t>
                  </w:r>
                </w:p>
                <w:p>
                  <w:pPr>
                    <w:pStyle w:val="null3"/>
                    <w:jc w:val="left"/>
                  </w:pPr>
                  <w:r>
                    <w:rPr>
                      <w:rFonts w:ascii="仿宋_GB2312" w:hAnsi="仿宋_GB2312" w:cs="仿宋_GB2312" w:eastAsia="仿宋_GB2312"/>
                      <w:sz w:val="21"/>
                    </w:rPr>
                    <w:t>最大抗风等级：8.5 m/s 至 10.5 m/s（5 级风）</w:t>
                  </w:r>
                </w:p>
                <w:p>
                  <w:pPr>
                    <w:pStyle w:val="null3"/>
                    <w:jc w:val="left"/>
                  </w:pPr>
                  <w:r>
                    <w:rPr>
                      <w:rFonts w:ascii="仿宋_GB2312" w:hAnsi="仿宋_GB2312" w:cs="仿宋_GB2312" w:eastAsia="仿宋_GB2312"/>
                      <w:sz w:val="21"/>
                    </w:rPr>
                    <w:t>最大可倾斜角度：40°（运动档）</w:t>
                  </w:r>
                </w:p>
                <w:p>
                  <w:pPr>
                    <w:pStyle w:val="null3"/>
                    <w:jc w:val="left"/>
                  </w:pPr>
                  <w:r>
                    <w:rPr>
                      <w:rFonts w:ascii="仿宋_GB2312" w:hAnsi="仿宋_GB2312" w:cs="仿宋_GB2312" w:eastAsia="仿宋_GB2312"/>
                      <w:sz w:val="21"/>
                    </w:rPr>
                    <w:t>最大旋转角速度：130°/s（运动档）</w:t>
                  </w:r>
                </w:p>
                <w:p>
                  <w:pPr>
                    <w:pStyle w:val="null3"/>
                    <w:jc w:val="left"/>
                  </w:pPr>
                  <w:r>
                    <w:rPr>
                      <w:rFonts w:ascii="仿宋_GB2312" w:hAnsi="仿宋_GB2312" w:cs="仿宋_GB2312" w:eastAsia="仿宋_GB2312"/>
                      <w:sz w:val="21"/>
                    </w:rPr>
                    <w:t>卫星导航系统：提供GPS或北斗</w:t>
                  </w:r>
                </w:p>
              </w:tc>
              <w:tc>
                <w:tcPr>
                  <w:tcW w:type="dxa" w:w="239"/>
                  <w:tcBorders>
                    <w:top w:val="none" w:color="000000" w:sz="4"/>
                    <w:left w:val="none" w:color="000000" w:sz="4"/>
                    <w:bottom w:val="single" w:color="000000" w:sz="4"/>
                    <w:right w:val="single" w:color="000000" w:sz="4"/>
                  </w:tcBorders>
                  <w:tcMar>
                    <w:top w:type="dxa" w:w="0"/>
                    <w:left w:type="dxa" w:w="30"/>
                    <w:bottom w:type="dxa" w:w="0"/>
                    <w:right w:type="dxa" w:w="30"/>
                  </w:tcMar>
                </w:tcPr>
                <w:p>
                  <w:pPr>
                    <w:pStyle w:val="null3"/>
                    <w:spacing w:before="120"/>
                    <w:jc w:val="center"/>
                  </w:pPr>
                  <w:r>
                    <w:rPr>
                      <w:rFonts w:ascii="仿宋_GB2312" w:hAnsi="仿宋_GB2312" w:cs="仿宋_GB2312" w:eastAsia="仿宋_GB2312"/>
                      <w:sz w:val="21"/>
                    </w:rPr>
                    <w:t>4</w:t>
                  </w:r>
                  <w:r>
                    <w:rPr>
                      <w:rFonts w:ascii="仿宋_GB2312" w:hAnsi="仿宋_GB2312" w:cs="仿宋_GB2312" w:eastAsia="仿宋_GB2312"/>
                      <w:sz w:val="21"/>
                    </w:rPr>
                    <w:t>台</w:t>
                  </w:r>
                </w:p>
              </w:tc>
            </w:tr>
            <w:tr>
              <w:tc>
                <w:tcPr>
                  <w:tcW w:type="dxa" w:w="174"/>
                  <w:tcBorders>
                    <w:top w:val="none" w:color="000000" w:sz="4"/>
                    <w:left w:val="single" w:color="000000" w:sz="4"/>
                    <w:bottom w:val="single" w:color="000000" w:sz="4"/>
                    <w:right w:val="none" w:color="000000" w:sz="4"/>
                  </w:tcBorders>
                  <w:tcMar>
                    <w:top w:type="dxa" w:w="0"/>
                    <w:left w:type="dxa" w:w="30"/>
                    <w:bottom w:type="dxa" w:w="0"/>
                    <w:right w:type="dxa" w:w="30"/>
                  </w:tcMar>
                </w:tcPr>
                <w:p>
                  <w:pPr>
                    <w:pStyle w:val="null3"/>
                    <w:numPr>
                      <w:ilvl w:val="0"/>
                      <w:numId w:val="1"/>
                    </w:numPr>
                    <w:jc w:val="both"/>
                  </w:pPr>
                </w:p>
              </w:tc>
              <w:tc>
                <w:tcPr>
                  <w:tcW w:type="dxa" w:w="267"/>
                  <w:tcBorders>
                    <w:top w:val="none" w:color="000000" w:sz="4"/>
                    <w:left w:val="single" w:color="000000" w:sz="4"/>
                    <w:bottom w:val="single" w:color="000000" w:sz="4"/>
                    <w:right w:val="single" w:color="000000" w:sz="4"/>
                  </w:tcBorders>
                  <w:tcMar>
                    <w:top w:type="dxa" w:w="0"/>
                    <w:left w:type="dxa" w:w="30"/>
                    <w:bottom w:type="dxa" w:w="0"/>
                    <w:right w:type="dxa" w:w="30"/>
                  </w:tcMar>
                </w:tcPr>
                <w:p>
                  <w:pPr>
                    <w:pStyle w:val="null3"/>
                    <w:spacing w:before="120"/>
                    <w:jc w:val="center"/>
                  </w:pPr>
                  <w:r>
                    <w:rPr>
                      <w:rFonts w:ascii="仿宋_GB2312" w:hAnsi="仿宋_GB2312" w:cs="仿宋_GB2312" w:eastAsia="仿宋_GB2312"/>
                      <w:sz w:val="21"/>
                    </w:rPr>
                    <w:t>AI</w:t>
                  </w:r>
                  <w:r>
                    <w:rPr>
                      <w:rFonts w:ascii="仿宋_GB2312" w:hAnsi="仿宋_GB2312" w:cs="仿宋_GB2312" w:eastAsia="仿宋_GB2312"/>
                      <w:sz w:val="21"/>
                    </w:rPr>
                    <w:t>旅游数字人训练一体机</w:t>
                  </w:r>
                </w:p>
              </w:tc>
              <w:tc>
                <w:tcPr>
                  <w:tcW w:type="dxa" w:w="1868"/>
                  <w:tcBorders>
                    <w:top w:val="none" w:color="000000" w:sz="4"/>
                    <w:left w:val="none" w:color="000000" w:sz="4"/>
                    <w:bottom w:val="single" w:color="000000" w:sz="4"/>
                    <w:right w:val="single" w:color="000000" w:sz="4"/>
                  </w:tcBorders>
                  <w:tcMar>
                    <w:top w:type="dxa" w:w="0"/>
                    <w:left w:type="dxa" w:w="30"/>
                    <w:bottom w:type="dxa" w:w="0"/>
                    <w:right w:type="dxa" w:w="30"/>
                  </w:tcMar>
                </w:tcPr>
                <w:p>
                  <w:pPr>
                    <w:pStyle w:val="null3"/>
                    <w:jc w:val="both"/>
                  </w:pPr>
                  <w:r>
                    <w:rPr>
                      <w:rFonts w:ascii="仿宋_GB2312" w:hAnsi="仿宋_GB2312" w:cs="仿宋_GB2312" w:eastAsia="仿宋_GB2312"/>
                      <w:sz w:val="21"/>
                    </w:rPr>
                    <w:t>通过集成自动语音识别（ASR）、自然语言处理（NLP）、文本到语音转换（TTS）、语音合成、机器学习、人工智能、传感器技术和虚拟数字人技术等多种技术手段，实现高度智能化的虚拟数字人语音对话。</w:t>
                  </w:r>
                </w:p>
                <w:p>
                  <w:pPr>
                    <w:pStyle w:val="null3"/>
                    <w:jc w:val="both"/>
                  </w:pPr>
                  <w:r>
                    <w:rPr>
                      <w:rFonts w:ascii="仿宋_GB2312" w:hAnsi="仿宋_GB2312" w:cs="仿宋_GB2312" w:eastAsia="仿宋_GB2312"/>
                      <w:sz w:val="21"/>
                    </w:rPr>
                    <w:t>一、AI要求</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、设备必须支持deepseek、通义千问、LLaMA等开源大模型的本地化部署，具有自然语言处理技术驱动的智能体学习功能；</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、设备必须支持模型多模态的应用；如文本、图像、音频、视频等不同模态的数据呈现。</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、设备要求具备语音识别ASR，识别性能毫秒级，多语种语音识别，实时语音合成TTS，20+声音模版可选，</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、设备必须支持按需创建专属知识库，支持在知识库上传相关的知识图谱，支持txt、word、mp3、pdf、jpg、png多种格式上传。</w:t>
                  </w:r>
                </w:p>
                <w:p>
                  <w:pPr>
                    <w:pStyle w:val="null3"/>
                    <w:jc w:val="both"/>
                  </w:pPr>
                  <w:r>
                    <w:rPr>
                      <w:rFonts w:ascii="仿宋_GB2312" w:hAnsi="仿宋_GB2312" w:cs="仿宋_GB2312" w:eastAsia="仿宋_GB2312"/>
                      <w:sz w:val="21"/>
                    </w:rPr>
                    <w:t>5</w:t>
                  </w:r>
                  <w:r>
                    <w:rPr>
                      <w:rFonts w:ascii="仿宋_GB2312" w:hAnsi="仿宋_GB2312" w:cs="仿宋_GB2312" w:eastAsia="仿宋_GB2312"/>
                      <w:sz w:val="21"/>
                    </w:rPr>
                    <w:t>、设备要求同时具备训练终端和测试终端，两终端可同时双向工作</w:t>
                  </w:r>
                </w:p>
                <w:p>
                  <w:pPr>
                    <w:pStyle w:val="null3"/>
                    <w:jc w:val="both"/>
                  </w:pPr>
                  <w:r>
                    <w:rPr>
                      <w:rFonts w:ascii="仿宋_GB2312" w:hAnsi="仿宋_GB2312" w:cs="仿宋_GB2312" w:eastAsia="仿宋_GB2312"/>
                      <w:sz w:val="21"/>
                    </w:rPr>
                    <w:t>二、数字人要求</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、设备要求自带3d数字人形象至少提供3个；支持按需更换数字人及形象背景。</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、设备要求支持ASR、TTS基于大模型实时推流，基于LLM自然语言的智能体实时推理给出问题答案。</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、设备要求内含知识库、工具函数、LLM自然语言工程化集成、对话管理，展示每轮对话的明细及token消耗记录，问答延迟不能超过2s。</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、数字人要求语音命令词唤醒、触屏唤醒，毫秒级延迟、唤醒后支持实时多轮对话，支持实时打断。</w:t>
                  </w:r>
                </w:p>
                <w:p>
                  <w:pPr>
                    <w:pStyle w:val="null3"/>
                    <w:jc w:val="both"/>
                  </w:pPr>
                  <w:r>
                    <w:rPr>
                      <w:rFonts w:ascii="仿宋_GB2312" w:hAnsi="仿宋_GB2312" w:cs="仿宋_GB2312" w:eastAsia="仿宋_GB2312"/>
                      <w:sz w:val="21"/>
                    </w:rPr>
                    <w:t>5</w:t>
                  </w:r>
                  <w:r>
                    <w:rPr>
                      <w:rFonts w:ascii="仿宋_GB2312" w:hAnsi="仿宋_GB2312" w:cs="仿宋_GB2312" w:eastAsia="仿宋_GB2312"/>
                      <w:sz w:val="21"/>
                    </w:rPr>
                    <w:t>、设备必须支持在模板基础上自定义角色名称、欢迎语等、设备管理列表，支持绑定、启动/关闭等。</w:t>
                  </w:r>
                </w:p>
                <w:p>
                  <w:pPr>
                    <w:pStyle w:val="null3"/>
                    <w:jc w:val="both"/>
                  </w:pPr>
                  <w:r>
                    <w:rPr>
                      <w:rFonts w:ascii="仿宋_GB2312" w:hAnsi="仿宋_GB2312" w:cs="仿宋_GB2312" w:eastAsia="仿宋_GB2312"/>
                      <w:sz w:val="21"/>
                    </w:rPr>
                    <w:t>6</w:t>
                  </w:r>
                  <w:r>
                    <w:rPr>
                      <w:rFonts w:ascii="仿宋_GB2312" w:hAnsi="仿宋_GB2312" w:cs="仿宋_GB2312" w:eastAsia="仿宋_GB2312"/>
                      <w:sz w:val="21"/>
                    </w:rPr>
                    <w:t>、数字人要求支持多场景应用，包含全息影像应用，桌面应用，互联网应用。</w:t>
                  </w:r>
                </w:p>
                <w:p>
                  <w:pPr>
                    <w:pStyle w:val="null3"/>
                    <w:jc w:val="both"/>
                  </w:pPr>
                  <w:r>
                    <w:rPr>
                      <w:rFonts w:ascii="仿宋_GB2312" w:hAnsi="仿宋_GB2312" w:cs="仿宋_GB2312" w:eastAsia="仿宋_GB2312"/>
                      <w:sz w:val="21"/>
                    </w:rPr>
                    <w:t>三、VR技术要求</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、显示：分辨率≥3200x1600</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、光学：FOV≥100°/瞳距支持55-70mm自适应</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、传 感 器：具有陀螺仪,加速度计,磁力计</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、接口： ≥DPx1,≥USB3.0x1</w:t>
                  </w:r>
                </w:p>
                <w:p>
                  <w:pPr>
                    <w:pStyle w:val="null3"/>
                    <w:jc w:val="both"/>
                  </w:pPr>
                  <w:r>
                    <w:rPr>
                      <w:rFonts w:ascii="仿宋_GB2312" w:hAnsi="仿宋_GB2312" w:cs="仿宋_GB2312" w:eastAsia="仿宋_GB2312"/>
                      <w:sz w:val="21"/>
                    </w:rPr>
                    <w:t>5</w:t>
                  </w:r>
                  <w:r>
                    <w:rPr>
                      <w:rFonts w:ascii="仿宋_GB2312" w:hAnsi="仿宋_GB2312" w:cs="仿宋_GB2312" w:eastAsia="仿宋_GB2312"/>
                      <w:sz w:val="21"/>
                    </w:rPr>
                    <w:t>、音频： 3.5mm 标准耳机接口</w:t>
                  </w:r>
                </w:p>
                <w:p>
                  <w:pPr>
                    <w:pStyle w:val="null3"/>
                    <w:jc w:val="both"/>
                  </w:pPr>
                  <w:r>
                    <w:rPr>
                      <w:rFonts w:ascii="仿宋_GB2312" w:hAnsi="仿宋_GB2312" w:cs="仿宋_GB2312" w:eastAsia="仿宋_GB2312"/>
                      <w:sz w:val="21"/>
                    </w:rPr>
                    <w:t xml:space="preserve">四、终端技术要求 </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、亮度：≥500cd/m2</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、对比度：≥2000：1</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、可视角度：≥H:178°, V:178°</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、音频：双喇叭，立体左右声道</w:t>
                  </w:r>
                </w:p>
                <w:p>
                  <w:pPr>
                    <w:pStyle w:val="null3"/>
                    <w:jc w:val="both"/>
                  </w:pPr>
                  <w:r>
                    <w:rPr>
                      <w:rFonts w:ascii="仿宋_GB2312" w:hAnsi="仿宋_GB2312" w:cs="仿宋_GB2312" w:eastAsia="仿宋_GB2312"/>
                      <w:sz w:val="21"/>
                    </w:rPr>
                    <w:t>5</w:t>
                  </w:r>
                  <w:r>
                    <w:rPr>
                      <w:rFonts w:ascii="仿宋_GB2312" w:hAnsi="仿宋_GB2312" w:cs="仿宋_GB2312" w:eastAsia="仿宋_GB2312"/>
                      <w:sz w:val="21"/>
                    </w:rPr>
                    <w:t>、内存+存储: ≥1G+8G</w:t>
                  </w:r>
                </w:p>
                <w:p>
                  <w:pPr>
                    <w:pStyle w:val="null3"/>
                    <w:jc w:val="both"/>
                  </w:pPr>
                  <w:r>
                    <w:rPr>
                      <w:rFonts w:ascii="仿宋_GB2312" w:hAnsi="仿宋_GB2312" w:cs="仿宋_GB2312" w:eastAsia="仿宋_GB2312"/>
                      <w:sz w:val="21"/>
                    </w:rPr>
                    <w:t>6</w:t>
                  </w:r>
                  <w:r>
                    <w:rPr>
                      <w:rFonts w:ascii="仿宋_GB2312" w:hAnsi="仿宋_GB2312" w:cs="仿宋_GB2312" w:eastAsia="仿宋_GB2312"/>
                      <w:sz w:val="21"/>
                    </w:rPr>
                    <w:t>、接口：≥耳机孔*1   ≥type-c口*1</w:t>
                  </w:r>
                </w:p>
                <w:p>
                  <w:pPr>
                    <w:pStyle w:val="null3"/>
                    <w:jc w:val="both"/>
                  </w:pPr>
                  <w:r>
                    <w:rPr>
                      <w:rFonts w:ascii="仿宋_GB2312" w:hAnsi="仿宋_GB2312" w:cs="仿宋_GB2312" w:eastAsia="仿宋_GB2312"/>
                      <w:sz w:val="21"/>
                    </w:rPr>
                    <w:t>7</w:t>
                  </w:r>
                  <w:r>
                    <w:rPr>
                      <w:rFonts w:ascii="仿宋_GB2312" w:hAnsi="仿宋_GB2312" w:cs="仿宋_GB2312" w:eastAsia="仿宋_GB2312"/>
                      <w:sz w:val="21"/>
                    </w:rPr>
                    <w:t>、网络支持：内置 Wi-Fi，支持蓝牙 4.2</w:t>
                  </w:r>
                </w:p>
                <w:p>
                  <w:pPr>
                    <w:pStyle w:val="null3"/>
                    <w:jc w:val="both"/>
                  </w:pPr>
                  <w:r>
                    <w:rPr>
                      <w:rFonts w:ascii="仿宋_GB2312" w:hAnsi="仿宋_GB2312" w:cs="仿宋_GB2312" w:eastAsia="仿宋_GB2312"/>
                      <w:sz w:val="21"/>
                    </w:rPr>
                    <w:t>8</w:t>
                  </w:r>
                  <w:r>
                    <w:rPr>
                      <w:rFonts w:ascii="仿宋_GB2312" w:hAnsi="仿宋_GB2312" w:cs="仿宋_GB2312" w:eastAsia="仿宋_GB2312"/>
                      <w:sz w:val="21"/>
                    </w:rPr>
                    <w:t>、麦克风：双麦全向麦</w:t>
                  </w:r>
                </w:p>
                <w:p>
                  <w:pPr>
                    <w:pStyle w:val="null3"/>
                    <w:jc w:val="both"/>
                  </w:pPr>
                  <w:r>
                    <w:rPr>
                      <w:rFonts w:ascii="仿宋_GB2312" w:hAnsi="仿宋_GB2312" w:cs="仿宋_GB2312" w:eastAsia="仿宋_GB2312"/>
                      <w:sz w:val="21"/>
                    </w:rPr>
                    <w:t>9</w:t>
                  </w:r>
                  <w:r>
                    <w:rPr>
                      <w:rFonts w:ascii="仿宋_GB2312" w:hAnsi="仿宋_GB2312" w:cs="仿宋_GB2312" w:eastAsia="仿宋_GB2312"/>
                      <w:sz w:val="21"/>
                    </w:rPr>
                    <w:t>、摄像头：≥500万像素，免驱</w:t>
                  </w:r>
                </w:p>
                <w:p>
                  <w:pPr>
                    <w:pStyle w:val="null3"/>
                    <w:jc w:val="both"/>
                  </w:pPr>
                  <w:r>
                    <w:rPr>
                      <w:rFonts w:ascii="仿宋_GB2312" w:hAnsi="仿宋_GB2312" w:cs="仿宋_GB2312" w:eastAsia="仿宋_GB2312"/>
                      <w:sz w:val="21"/>
                    </w:rPr>
                    <w:t>五、服务要求(需提供承诺函）</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、成交供应商在2年内配合我校师生共同进行AI大模型的训练工作，提供建立旅游景点、在地文化和陕西特产各1个知识库的服务。</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、成交供应商在2年内配合参与我校实验项目，提供我校完成数字人训练项目2个以上的服务。</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3</w:t>
                  </w:r>
                  <w:r>
                    <w:rPr>
                      <w:rFonts w:ascii="仿宋_GB2312" w:hAnsi="仿宋_GB2312" w:cs="仿宋_GB2312" w:eastAsia="仿宋_GB2312"/>
                      <w:sz w:val="21"/>
                    </w:rPr>
                    <w:t>、成交供应商在2年内对我校相关AI科研项目提供技术支持。</w:t>
                  </w:r>
                </w:p>
              </w:tc>
              <w:tc>
                <w:tcPr>
                  <w:tcW w:type="dxa" w:w="239"/>
                  <w:tcBorders>
                    <w:top w:val="none" w:color="000000" w:sz="4"/>
                    <w:left w:val="none" w:color="000000" w:sz="4"/>
                    <w:bottom w:val="single" w:color="000000" w:sz="4"/>
                    <w:right w:val="single" w:color="000000" w:sz="4"/>
                  </w:tcBorders>
                  <w:tcMar>
                    <w:top w:type="dxa" w:w="0"/>
                    <w:left w:type="dxa" w:w="30"/>
                    <w:bottom w:type="dxa" w:w="0"/>
                    <w:right w:type="dxa" w:w="30"/>
                  </w:tcMar>
                </w:tcPr>
                <w:p>
                  <w:pPr>
                    <w:pStyle w:val="null3"/>
                    <w:spacing w:before="120"/>
                    <w:jc w:val="center"/>
                  </w:pPr>
                  <w:r>
                    <w:rPr>
                      <w:rFonts w:ascii="仿宋_GB2312" w:hAnsi="仿宋_GB2312" w:cs="仿宋_GB2312" w:eastAsia="仿宋_GB2312"/>
                      <w:sz w:val="21"/>
                    </w:rPr>
                    <w:t>2</w:t>
                  </w:r>
                  <w:r>
                    <w:rPr>
                      <w:rFonts w:ascii="仿宋_GB2312" w:hAnsi="仿宋_GB2312" w:cs="仿宋_GB2312" w:eastAsia="仿宋_GB2312"/>
                      <w:sz w:val="21"/>
                    </w:rPr>
                    <w:t>台</w:t>
                  </w:r>
                </w:p>
              </w:tc>
            </w:tr>
            <w:tr>
              <w:tc>
                <w:tcPr>
                  <w:tcW w:type="dxa" w:w="174"/>
                  <w:tcBorders>
                    <w:top w:val="none" w:color="000000" w:sz="4"/>
                    <w:left w:val="single" w:color="000000" w:sz="4"/>
                    <w:bottom w:val="single" w:color="000000" w:sz="4"/>
                    <w:right w:val="none" w:color="000000" w:sz="4"/>
                  </w:tcBorders>
                  <w:tcMar>
                    <w:top w:type="dxa" w:w="0"/>
                    <w:left w:type="dxa" w:w="30"/>
                    <w:bottom w:type="dxa" w:w="0"/>
                    <w:right w:type="dxa" w:w="30"/>
                  </w:tcMar>
                </w:tcPr>
                <w:p>
                  <w:pPr>
                    <w:pStyle w:val="null3"/>
                    <w:numPr>
                      <w:ilvl w:val="0"/>
                      <w:numId w:val="1"/>
                    </w:numPr>
                    <w:jc w:val="both"/>
                  </w:pPr>
                </w:p>
              </w:tc>
              <w:tc>
                <w:tcPr>
                  <w:tcW w:type="dxa" w:w="267"/>
                  <w:tcBorders>
                    <w:top w:val="none" w:color="000000" w:sz="4"/>
                    <w:left w:val="single" w:color="000000" w:sz="4"/>
                    <w:bottom w:val="single" w:color="000000" w:sz="4"/>
                    <w:right w:val="single" w:color="000000" w:sz="4"/>
                  </w:tcBorders>
                  <w:tcMar>
                    <w:top w:type="dxa" w:w="0"/>
                    <w:left w:type="dxa" w:w="30"/>
                    <w:bottom w:type="dxa" w:w="0"/>
                    <w:right w:type="dxa" w:w="30"/>
                  </w:tcMar>
                </w:tcPr>
                <w:p>
                  <w:pPr>
                    <w:pStyle w:val="null3"/>
                    <w:spacing w:before="120"/>
                    <w:jc w:val="center"/>
                  </w:pPr>
                  <w:r>
                    <w:rPr>
                      <w:rFonts w:ascii="仿宋_GB2312" w:hAnsi="仿宋_GB2312" w:cs="仿宋_GB2312" w:eastAsia="仿宋_GB2312"/>
                      <w:sz w:val="21"/>
                    </w:rPr>
                    <w:t>旅游数字人研创沙箱</w:t>
                  </w:r>
                </w:p>
              </w:tc>
              <w:tc>
                <w:tcPr>
                  <w:tcW w:type="dxa" w:w="1868"/>
                  <w:tcBorders>
                    <w:top w:val="none" w:color="000000" w:sz="4"/>
                    <w:left w:val="none" w:color="000000" w:sz="4"/>
                    <w:bottom w:val="single" w:color="000000" w:sz="4"/>
                    <w:right w:val="single" w:color="000000" w:sz="4"/>
                  </w:tcBorders>
                  <w:tcMar>
                    <w:top w:type="dxa" w:w="0"/>
                    <w:left w:type="dxa" w:w="30"/>
                    <w:bottom w:type="dxa" w:w="0"/>
                    <w:right w:type="dxa" w:w="30"/>
                  </w:tcMar>
                </w:tcPr>
                <w:p>
                  <w:pPr>
                    <w:pStyle w:val="null3"/>
                    <w:jc w:val="left"/>
                  </w:pPr>
                  <w:r>
                    <w:rPr>
                      <w:rFonts w:ascii="仿宋_GB2312" w:hAnsi="仿宋_GB2312" w:cs="仿宋_GB2312" w:eastAsia="仿宋_GB2312"/>
                      <w:sz w:val="21"/>
                    </w:rPr>
                    <w:t>一、展示</w:t>
                  </w:r>
                  <w:r>
                    <w:rPr>
                      <w:rFonts w:ascii="仿宋_GB2312" w:hAnsi="仿宋_GB2312" w:cs="仿宋_GB2312" w:eastAsia="仿宋_GB2312"/>
                      <w:sz w:val="21"/>
                    </w:rPr>
                    <w:t>外观：</w:t>
                  </w:r>
                </w:p>
                <w:p>
                  <w:pPr>
                    <w:pStyle w:val="null3"/>
                    <w:jc w:val="left"/>
                  </w:pPr>
                  <w:r>
                    <w:rPr>
                      <w:rFonts w:ascii="仿宋_GB2312" w:hAnsi="仿宋_GB2312" w:cs="仿宋_GB2312" w:eastAsia="仿宋_GB2312"/>
                      <w:sz w:val="21"/>
                    </w:rPr>
                    <w:t>尺寸：</w:t>
                  </w:r>
                  <w:r>
                    <w:rPr>
                      <w:rFonts w:ascii="仿宋_GB2312" w:hAnsi="仿宋_GB2312" w:cs="仿宋_GB2312" w:eastAsia="仿宋_GB2312"/>
                      <w:sz w:val="21"/>
                    </w:rPr>
                    <w:t>≥65寸</w:t>
                  </w:r>
                </w:p>
                <w:p>
                  <w:pPr>
                    <w:pStyle w:val="null3"/>
                    <w:jc w:val="left"/>
                  </w:pPr>
                  <w:r>
                    <w:rPr>
                      <w:rFonts w:ascii="仿宋_GB2312" w:hAnsi="仿宋_GB2312" w:cs="仿宋_GB2312" w:eastAsia="仿宋_GB2312"/>
                      <w:sz w:val="21"/>
                    </w:rPr>
                    <w:t>比例：16:9</w:t>
                  </w:r>
                </w:p>
                <w:p>
                  <w:pPr>
                    <w:pStyle w:val="null3"/>
                    <w:jc w:val="left"/>
                  </w:pPr>
                  <w:r>
                    <w:rPr>
                      <w:rFonts w:ascii="仿宋_GB2312" w:hAnsi="仿宋_GB2312" w:cs="仿宋_GB2312" w:eastAsia="仿宋_GB2312"/>
                      <w:sz w:val="21"/>
                    </w:rPr>
                    <w:t>亮度：</w:t>
                  </w:r>
                  <w:r>
                    <w:rPr>
                      <w:rFonts w:ascii="仿宋_GB2312" w:hAnsi="仿宋_GB2312" w:cs="仿宋_GB2312" w:eastAsia="仿宋_GB2312"/>
                      <w:sz w:val="21"/>
                    </w:rPr>
                    <w:t>≥</w:t>
                  </w:r>
                  <w:r>
                    <w:rPr>
                      <w:rFonts w:ascii="仿宋_GB2312" w:hAnsi="仿宋_GB2312" w:cs="仿宋_GB2312" w:eastAsia="仿宋_GB2312"/>
                      <w:sz w:val="21"/>
                    </w:rPr>
                    <w:t>350cd/</w:t>
                  </w:r>
                  <w:r>
                    <w:rPr>
                      <w:rFonts w:ascii="仿宋_GB2312" w:hAnsi="仿宋_GB2312" w:cs="仿宋_GB2312" w:eastAsia="仿宋_GB2312"/>
                      <w:sz w:val="21"/>
                    </w:rPr>
                    <w:t>㎡</w:t>
                  </w:r>
                </w:p>
                <w:p>
                  <w:pPr>
                    <w:pStyle w:val="null3"/>
                    <w:jc w:val="left"/>
                  </w:pPr>
                  <w:r>
                    <w:rPr>
                      <w:rFonts w:ascii="仿宋_GB2312" w:hAnsi="仿宋_GB2312" w:cs="仿宋_GB2312" w:eastAsia="仿宋_GB2312"/>
                      <w:sz w:val="21"/>
                    </w:rPr>
                    <w:t>水平/垂直视角：178°/178°</w:t>
                  </w:r>
                </w:p>
                <w:p>
                  <w:pPr>
                    <w:pStyle w:val="null3"/>
                    <w:jc w:val="left"/>
                  </w:pPr>
                  <w:r>
                    <w:rPr>
                      <w:rFonts w:ascii="仿宋_GB2312" w:hAnsi="仿宋_GB2312" w:cs="仿宋_GB2312" w:eastAsia="仿宋_GB2312"/>
                      <w:sz w:val="21"/>
                    </w:rPr>
                    <w:t>对比度：</w:t>
                  </w:r>
                  <w:r>
                    <w:rPr>
                      <w:rFonts w:ascii="仿宋_GB2312" w:hAnsi="仿宋_GB2312" w:cs="仿宋_GB2312" w:eastAsia="仿宋_GB2312"/>
                      <w:sz w:val="21"/>
                    </w:rPr>
                    <w:t>≥</w:t>
                  </w:r>
                  <w:r>
                    <w:rPr>
                      <w:rFonts w:ascii="仿宋_GB2312" w:hAnsi="仿宋_GB2312" w:cs="仿宋_GB2312" w:eastAsia="仿宋_GB2312"/>
                      <w:sz w:val="21"/>
                    </w:rPr>
                    <w:t>3000</w:t>
                  </w:r>
                  <w:r>
                    <w:rPr>
                      <w:rFonts w:ascii="仿宋_GB2312" w:hAnsi="仿宋_GB2312" w:cs="仿宋_GB2312" w:eastAsia="仿宋_GB2312"/>
                      <w:sz w:val="21"/>
                    </w:rPr>
                    <w:t>：1</w:t>
                  </w:r>
                </w:p>
                <w:p>
                  <w:pPr>
                    <w:pStyle w:val="null3"/>
                    <w:jc w:val="left"/>
                  </w:pPr>
                  <w:r>
                    <w:rPr>
                      <w:rFonts w:ascii="仿宋_GB2312" w:hAnsi="仿宋_GB2312" w:cs="仿宋_GB2312" w:eastAsia="仿宋_GB2312"/>
                      <w:sz w:val="21"/>
                    </w:rPr>
                    <w:t>分辨率：</w:t>
                  </w:r>
                  <w:r>
                    <w:rPr>
                      <w:rFonts w:ascii="仿宋_GB2312" w:hAnsi="仿宋_GB2312" w:cs="仿宋_GB2312" w:eastAsia="仿宋_GB2312"/>
                      <w:sz w:val="21"/>
                    </w:rPr>
                    <w:t>≥</w:t>
                  </w:r>
                  <w:r>
                    <w:rPr>
                      <w:rFonts w:ascii="仿宋_GB2312" w:hAnsi="仿宋_GB2312" w:cs="仿宋_GB2312" w:eastAsia="仿宋_GB2312"/>
                      <w:sz w:val="21"/>
                    </w:rPr>
                    <w:t xml:space="preserve">3840 </w:t>
                  </w:r>
                  <w:r>
                    <w:rPr>
                      <w:rFonts w:ascii="仿宋_GB2312" w:hAnsi="仿宋_GB2312" w:cs="仿宋_GB2312" w:eastAsia="仿宋_GB2312"/>
                      <w:sz w:val="21"/>
                    </w:rPr>
                    <w:t>× 2160</w:t>
                  </w:r>
                </w:p>
                <w:p>
                  <w:pPr>
                    <w:pStyle w:val="null3"/>
                    <w:jc w:val="left"/>
                  </w:pPr>
                  <w:r>
                    <w:rPr>
                      <w:rFonts w:ascii="仿宋_GB2312" w:hAnsi="仿宋_GB2312" w:cs="仿宋_GB2312" w:eastAsia="仿宋_GB2312"/>
                      <w:sz w:val="21"/>
                    </w:rPr>
                    <w:t>麦克风类型：线性等距阵列麦克风</w:t>
                  </w:r>
                </w:p>
                <w:p>
                  <w:pPr>
                    <w:pStyle w:val="null3"/>
                    <w:jc w:val="left"/>
                  </w:pPr>
                  <w:r>
                    <w:rPr>
                      <w:rFonts w:ascii="仿宋_GB2312" w:hAnsi="仿宋_GB2312" w:cs="仿宋_GB2312" w:eastAsia="仿宋_GB2312"/>
                      <w:sz w:val="21"/>
                    </w:rPr>
                    <w:t>拾音距离：0~10 米</w:t>
                  </w:r>
                </w:p>
                <w:p>
                  <w:pPr>
                    <w:pStyle w:val="null3"/>
                    <w:jc w:val="left"/>
                  </w:pPr>
                  <w:r>
                    <w:rPr>
                      <w:rFonts w:ascii="仿宋_GB2312" w:hAnsi="仿宋_GB2312" w:cs="仿宋_GB2312" w:eastAsia="仿宋_GB2312"/>
                      <w:sz w:val="21"/>
                    </w:rPr>
                    <w:t>二、</w:t>
                  </w:r>
                  <w:r>
                    <w:rPr>
                      <w:rFonts w:ascii="仿宋_GB2312" w:hAnsi="仿宋_GB2312" w:cs="仿宋_GB2312" w:eastAsia="仿宋_GB2312"/>
                      <w:sz w:val="21"/>
                    </w:rPr>
                    <w:t>主板参数：</w:t>
                  </w:r>
                </w:p>
                <w:p>
                  <w:pPr>
                    <w:pStyle w:val="null3"/>
                    <w:jc w:val="left"/>
                  </w:pPr>
                  <w:r>
                    <w:rPr>
                      <w:rFonts w:ascii="仿宋_GB2312" w:hAnsi="仿宋_GB2312" w:cs="仿宋_GB2312" w:eastAsia="仿宋_GB2312"/>
                      <w:sz w:val="21"/>
                    </w:rPr>
                    <w:t>处理器：</w:t>
                  </w:r>
                  <w:r>
                    <w:rPr>
                      <w:rFonts w:ascii="仿宋_GB2312" w:hAnsi="仿宋_GB2312" w:cs="仿宋_GB2312" w:eastAsia="仿宋_GB2312"/>
                      <w:sz w:val="21"/>
                    </w:rPr>
                    <w:t>≥</w:t>
                  </w:r>
                  <w:r>
                    <w:rPr>
                      <w:rFonts w:ascii="仿宋_GB2312" w:hAnsi="仿宋_GB2312" w:cs="仿宋_GB2312" w:eastAsia="仿宋_GB2312"/>
                      <w:sz w:val="21"/>
                    </w:rPr>
                    <w:t>2.3GHz 2</w:t>
                  </w:r>
                  <w:r>
                    <w:rPr>
                      <w:rFonts w:ascii="仿宋_GB2312" w:hAnsi="仿宋_GB2312" w:cs="仿宋_GB2312" w:eastAsia="仿宋_GB2312"/>
                      <w:sz w:val="21"/>
                    </w:rPr>
                    <w:t>核心 4线程</w:t>
                  </w:r>
                </w:p>
                <w:p>
                  <w:pPr>
                    <w:pStyle w:val="null3"/>
                    <w:jc w:val="left"/>
                  </w:pPr>
                  <w:r>
                    <w:rPr>
                      <w:rFonts w:ascii="仿宋_GB2312" w:hAnsi="仿宋_GB2312" w:cs="仿宋_GB2312" w:eastAsia="仿宋_GB2312"/>
                      <w:sz w:val="21"/>
                    </w:rPr>
                    <w:t>内存/存储：</w:t>
                  </w:r>
                  <w:r>
                    <w:rPr>
                      <w:rFonts w:ascii="仿宋_GB2312" w:hAnsi="仿宋_GB2312" w:cs="仿宋_GB2312" w:eastAsia="仿宋_GB2312"/>
                      <w:sz w:val="21"/>
                    </w:rPr>
                    <w:t>≥</w:t>
                  </w:r>
                  <w:r>
                    <w:rPr>
                      <w:rFonts w:ascii="仿宋_GB2312" w:hAnsi="仿宋_GB2312" w:cs="仿宋_GB2312" w:eastAsia="仿宋_GB2312"/>
                      <w:sz w:val="21"/>
                    </w:rPr>
                    <w:t>16G+256G</w:t>
                  </w:r>
                </w:p>
                <w:p>
                  <w:pPr>
                    <w:pStyle w:val="null3"/>
                    <w:jc w:val="left"/>
                  </w:pPr>
                  <w:r>
                    <w:rPr>
                      <w:rFonts w:ascii="仿宋_GB2312" w:hAnsi="仿宋_GB2312" w:cs="仿宋_GB2312" w:eastAsia="仿宋_GB2312"/>
                      <w:sz w:val="21"/>
                    </w:rPr>
                    <w:t xml:space="preserve">网络支持：支持 10/100 自适应以太网 </w:t>
                  </w:r>
                </w:p>
                <w:p>
                  <w:pPr>
                    <w:pStyle w:val="null3"/>
                    <w:jc w:val="left"/>
                  </w:pPr>
                  <w:r>
                    <w:rPr>
                      <w:rFonts w:ascii="仿宋_GB2312" w:hAnsi="仿宋_GB2312" w:cs="仿宋_GB2312" w:eastAsia="仿宋_GB2312"/>
                      <w:sz w:val="21"/>
                    </w:rPr>
                    <w:t>三、AI功能要求：</w:t>
                  </w:r>
                </w:p>
                <w:p>
                  <w:pPr>
                    <w:pStyle w:val="null3"/>
                    <w:jc w:val="left"/>
                  </w:pPr>
                  <w:r>
                    <w:rPr>
                      <w:rFonts w:ascii="仿宋_GB2312" w:hAnsi="仿宋_GB2312" w:cs="仿宋_GB2312" w:eastAsia="仿宋_GB2312"/>
                      <w:sz w:val="21"/>
                    </w:rPr>
                    <w:t xml:space="preserve">1. </w:t>
                  </w:r>
                  <w:r>
                    <w:rPr>
                      <w:rFonts w:ascii="仿宋_GB2312" w:hAnsi="仿宋_GB2312" w:cs="仿宋_GB2312" w:eastAsia="仿宋_GB2312"/>
                      <w:sz w:val="21"/>
                    </w:rPr>
                    <w:t>主讲人模式视图保持架内人员居中，跟踪讲话人；</w:t>
                  </w:r>
                </w:p>
                <w:p>
                  <w:pPr>
                    <w:pStyle w:val="null3"/>
                    <w:jc w:val="left"/>
                  </w:pPr>
                  <w:r>
                    <w:rPr>
                      <w:rFonts w:ascii="仿宋_GB2312" w:hAnsi="仿宋_GB2312" w:cs="仿宋_GB2312" w:eastAsia="仿宋_GB2312"/>
                      <w:sz w:val="21"/>
                    </w:rPr>
                    <w:t>2.</w:t>
                  </w:r>
                  <w:r>
                    <w:rPr>
                      <w:rFonts w:ascii="仿宋_GB2312" w:hAnsi="仿宋_GB2312" w:cs="仿宋_GB2312" w:eastAsia="仿宋_GB2312"/>
                      <w:sz w:val="21"/>
                    </w:rPr>
                    <w:t>唤醒功能：提供多模态开放式对话数字人，支持语音唤醒功能，无需触屏即可无感交互；</w:t>
                  </w:r>
                </w:p>
                <w:p>
                  <w:pPr>
                    <w:pStyle w:val="null3"/>
                    <w:jc w:val="left"/>
                  </w:pPr>
                  <w:r>
                    <w:rPr>
                      <w:rFonts w:ascii="仿宋_GB2312" w:hAnsi="仿宋_GB2312" w:cs="仿宋_GB2312" w:eastAsia="仿宋_GB2312"/>
                      <w:sz w:val="21"/>
                    </w:rPr>
                    <w:t>3.</w:t>
                  </w:r>
                  <w:r>
                    <w:rPr>
                      <w:rFonts w:ascii="仿宋_GB2312" w:hAnsi="仿宋_GB2312" w:cs="仿宋_GB2312" w:eastAsia="仿宋_GB2312"/>
                      <w:sz w:val="21"/>
                    </w:rPr>
                    <w:t>数字人智能问答功能：支持接入AI接口，支持接入特定行业垂直领域知识库，支持自己训练智能体对接；</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语音识别功能：提供自然语言对话接入。</w:t>
                  </w:r>
                </w:p>
              </w:tc>
              <w:tc>
                <w:tcPr>
                  <w:tcW w:type="dxa" w:w="239"/>
                  <w:tcBorders>
                    <w:top w:val="none" w:color="000000" w:sz="4"/>
                    <w:left w:val="none" w:color="000000" w:sz="4"/>
                    <w:bottom w:val="single" w:color="000000" w:sz="4"/>
                    <w:right w:val="single" w:color="000000" w:sz="4"/>
                  </w:tcBorders>
                  <w:tcMar>
                    <w:top w:type="dxa" w:w="0"/>
                    <w:left w:type="dxa" w:w="30"/>
                    <w:bottom w:type="dxa" w:w="0"/>
                    <w:right w:type="dxa" w:w="30"/>
                  </w:tcMar>
                </w:tcPr>
                <w:p>
                  <w:pPr>
                    <w:pStyle w:val="null3"/>
                    <w:spacing w:before="120"/>
                    <w:jc w:val="center"/>
                  </w:pPr>
                  <w:r>
                    <w:rPr>
                      <w:rFonts w:ascii="仿宋_GB2312" w:hAnsi="仿宋_GB2312" w:cs="仿宋_GB2312" w:eastAsia="仿宋_GB2312"/>
                      <w:sz w:val="21"/>
                    </w:rPr>
                    <w:t>1</w:t>
                  </w:r>
                  <w:r>
                    <w:rPr>
                      <w:rFonts w:ascii="仿宋_GB2312" w:hAnsi="仿宋_GB2312" w:cs="仿宋_GB2312" w:eastAsia="仿宋_GB2312"/>
                      <w:sz w:val="21"/>
                    </w:rPr>
                    <w:t>台</w:t>
                  </w:r>
                </w:p>
              </w:tc>
            </w:tr>
            <w:tr>
              <w:tc>
                <w:tcPr>
                  <w:tcW w:type="dxa" w:w="174"/>
                  <w:tcBorders>
                    <w:top w:val="none" w:color="000000" w:sz="4"/>
                    <w:left w:val="single" w:color="000000" w:sz="4"/>
                    <w:bottom w:val="single" w:color="000000" w:sz="4"/>
                    <w:right w:val="none" w:color="000000" w:sz="4"/>
                  </w:tcBorders>
                  <w:tcMar>
                    <w:top w:type="dxa" w:w="0"/>
                    <w:left w:type="dxa" w:w="30"/>
                    <w:bottom w:type="dxa" w:w="0"/>
                    <w:right w:type="dxa" w:w="30"/>
                  </w:tcMar>
                </w:tcPr>
                <w:p>
                  <w:pPr>
                    <w:pStyle w:val="null3"/>
                    <w:numPr>
                      <w:ilvl w:val="0"/>
                      <w:numId w:val="1"/>
                    </w:numPr>
                    <w:jc w:val="both"/>
                  </w:pPr>
                </w:p>
              </w:tc>
              <w:tc>
                <w:tcPr>
                  <w:tcW w:type="dxa" w:w="267"/>
                  <w:tcBorders>
                    <w:top w:val="none" w:color="000000" w:sz="4"/>
                    <w:left w:val="single" w:color="000000" w:sz="4"/>
                    <w:bottom w:val="single" w:color="000000" w:sz="4"/>
                    <w:right w:val="single" w:color="000000" w:sz="4"/>
                  </w:tcBorders>
                  <w:tcMar>
                    <w:top w:type="dxa" w:w="0"/>
                    <w:left w:type="dxa" w:w="30"/>
                    <w:bottom w:type="dxa" w:w="0"/>
                    <w:right w:type="dxa" w:w="30"/>
                  </w:tcMar>
                </w:tcPr>
                <w:p>
                  <w:pPr>
                    <w:pStyle w:val="null3"/>
                    <w:spacing w:before="120"/>
                    <w:jc w:val="center"/>
                  </w:pPr>
                  <w:r>
                    <w:rPr>
                      <w:rFonts w:ascii="仿宋_GB2312" w:hAnsi="仿宋_GB2312" w:cs="仿宋_GB2312" w:eastAsia="仿宋_GB2312"/>
                      <w:sz w:val="21"/>
                    </w:rPr>
                    <w:t>智慧文旅产业研究基础管理平台</w:t>
                  </w:r>
                </w:p>
              </w:tc>
              <w:tc>
                <w:tcPr>
                  <w:tcW w:type="dxa" w:w="1868"/>
                  <w:tcBorders>
                    <w:top w:val="none" w:color="000000" w:sz="4"/>
                    <w:left w:val="none" w:color="000000" w:sz="4"/>
                    <w:bottom w:val="single" w:color="000000" w:sz="4"/>
                    <w:right w:val="single" w:color="000000" w:sz="4"/>
                  </w:tcBorders>
                  <w:tcMar>
                    <w:top w:type="dxa" w:w="0"/>
                    <w:left w:type="dxa" w:w="30"/>
                    <w:bottom w:type="dxa" w:w="0"/>
                    <w:right w:type="dxa" w:w="30"/>
                  </w:tcMar>
                </w:tcPr>
                <w:p>
                  <w:pPr>
                    <w:pStyle w:val="null3"/>
                    <w:jc w:val="left"/>
                  </w:pPr>
                  <w:r>
                    <w:rPr>
                      <w:rFonts w:ascii="仿宋_GB2312" w:hAnsi="仿宋_GB2312" w:cs="仿宋_GB2312" w:eastAsia="仿宋_GB2312"/>
                      <w:sz w:val="21"/>
                    </w:rPr>
                    <w:t>智慧文旅产业研究综合管理平台是研究中心实现智能化管理的核心和基础，通过整合互联网、人工智能、大数据等技术，实现对中心研究资源、设备以及人员的高效管理。其核心功能包括统一身份认证、统一人员管理、统一数据管理维护等。具体要求如下：</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1.平台必须实现对研究中心配套的研究平台：数字技术在地文化研究平台、AI技术文旅产业应用研究平台、AI旅游数字人训练一体机、文旅新业态研究平台等进行统一基础数据的维护管理；（提供投标人盖章的软件功能截图证明）</w:t>
                  </w:r>
                </w:p>
                <w:p>
                  <w:pPr>
                    <w:pStyle w:val="null3"/>
                    <w:jc w:val="left"/>
                  </w:pPr>
                  <w:r>
                    <w:rPr>
                      <w:rFonts w:ascii="仿宋_GB2312" w:hAnsi="仿宋_GB2312" w:cs="仿宋_GB2312" w:eastAsia="仿宋_GB2312"/>
                      <w:sz w:val="21"/>
                    </w:rPr>
                    <w:t>2.</w:t>
                  </w:r>
                  <w:r>
                    <w:rPr>
                      <w:rFonts w:ascii="仿宋_GB2312" w:hAnsi="仿宋_GB2312" w:cs="仿宋_GB2312" w:eastAsia="仿宋_GB2312"/>
                      <w:sz w:val="21"/>
                    </w:rPr>
                    <w:t>要求满足用户通过该基础平台进行一次登录认证，即可访问中心配置的四款实验研究平台，无需重复输入账号和密码。例如，学生登录平台后，可直接进入数字技术在地文化研究，文旅新业态研究，AI文旅应用平台等，方便快捷，大幅度提高应用和管理效率；</w:t>
                  </w:r>
                </w:p>
                <w:p>
                  <w:pPr>
                    <w:pStyle w:val="null3"/>
                    <w:jc w:val="left"/>
                  </w:pPr>
                  <w:r>
                    <w:rPr>
                      <w:rFonts w:ascii="仿宋_GB2312" w:hAnsi="仿宋_GB2312" w:cs="仿宋_GB2312" w:eastAsia="仿宋_GB2312"/>
                      <w:sz w:val="21"/>
                    </w:rPr>
                    <w:t>3.</w:t>
                  </w:r>
                  <w:r>
                    <w:rPr>
                      <w:rFonts w:ascii="仿宋_GB2312" w:hAnsi="仿宋_GB2312" w:cs="仿宋_GB2312" w:eastAsia="仿宋_GB2312"/>
                      <w:sz w:val="21"/>
                    </w:rPr>
                    <w:t>平台采用加密算法技术保障身份数据安全，防止篡改或冒用。</w:t>
                  </w:r>
                </w:p>
                <w:p>
                  <w:pPr>
                    <w:pStyle w:val="null3"/>
                    <w:jc w:val="left"/>
                  </w:pPr>
                  <w:r>
                    <w:rPr>
                      <w:rFonts w:ascii="仿宋_GB2312" w:hAnsi="仿宋_GB2312" w:cs="仿宋_GB2312" w:eastAsia="仿宋_GB2312"/>
                      <w:sz w:val="21"/>
                    </w:rPr>
                    <w:t>4.</w:t>
                  </w:r>
                  <w:r>
                    <w:rPr>
                      <w:rFonts w:ascii="仿宋_GB2312" w:hAnsi="仿宋_GB2312" w:cs="仿宋_GB2312" w:eastAsia="仿宋_GB2312"/>
                      <w:sz w:val="21"/>
                    </w:rPr>
                    <w:t>基础平台支持通过分级权限和角色划分，实现对中心各类用户的精细化管控，涵盖学生、教师、管理员等角色；</w:t>
                  </w:r>
                </w:p>
                <w:p>
                  <w:pPr>
                    <w:pStyle w:val="null3"/>
                    <w:jc w:val="left"/>
                  </w:pPr>
                  <w:r>
                    <w:rPr>
                      <w:rFonts w:ascii="仿宋_GB2312" w:hAnsi="仿宋_GB2312" w:cs="仿宋_GB2312" w:eastAsia="仿宋_GB2312"/>
                      <w:sz w:val="21"/>
                    </w:rPr>
                    <w:t>5.</w:t>
                  </w:r>
                  <w:r>
                    <w:rPr>
                      <w:rFonts w:ascii="仿宋_GB2312" w:hAnsi="仿宋_GB2312" w:cs="仿宋_GB2312" w:eastAsia="仿宋_GB2312"/>
                      <w:sz w:val="21"/>
                    </w:rPr>
                    <w:t>平台支持对用户的身份信息进行统一管理，包括身份的创建、修改、删除等操作；</w:t>
                  </w:r>
                </w:p>
                <w:p>
                  <w:pPr>
                    <w:pStyle w:val="null3"/>
                    <w:jc w:val="left"/>
                  </w:pPr>
                  <w:r>
                    <w:rPr>
                      <w:rFonts w:ascii="仿宋_GB2312" w:hAnsi="仿宋_GB2312" w:cs="仿宋_GB2312" w:eastAsia="仿宋_GB2312"/>
                      <w:sz w:val="21"/>
                    </w:rPr>
                    <w:t>6.</w:t>
                  </w:r>
                  <w:r>
                    <w:rPr>
                      <w:rFonts w:ascii="仿宋_GB2312" w:hAnsi="仿宋_GB2312" w:cs="仿宋_GB2312" w:eastAsia="仿宋_GB2312"/>
                      <w:sz w:val="21"/>
                    </w:rPr>
                    <w:t>平台支持人员角色权限管理。根据不同的用户角色，含管理员、教师、班级、学生等，设置相应的操作权限；</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7.</w:t>
                  </w:r>
                  <w:r>
                    <w:rPr>
                      <w:rFonts w:ascii="仿宋_GB2312" w:hAnsi="仿宋_GB2312" w:cs="仿宋_GB2312" w:eastAsia="仿宋_GB2312"/>
                      <w:sz w:val="21"/>
                    </w:rPr>
                    <w:t>人员分组管理。支持教师根据实际项目的研究需求将班级学生进行分组，方便对不同班级，组别的人员进行统一管理和任务发布，提高管理效率；（提供投标人盖章的软件功能截图证明）</w:t>
                  </w:r>
                </w:p>
                <w:p>
                  <w:pPr>
                    <w:pStyle w:val="null3"/>
                    <w:jc w:val="left"/>
                  </w:pPr>
                  <w:r>
                    <w:rPr>
                      <w:rFonts w:ascii="仿宋_GB2312" w:hAnsi="仿宋_GB2312" w:cs="仿宋_GB2312" w:eastAsia="仿宋_GB2312"/>
                      <w:sz w:val="21"/>
                    </w:rPr>
                    <w:t>8.</w:t>
                  </w:r>
                  <w:r>
                    <w:rPr>
                      <w:rFonts w:ascii="仿宋_GB2312" w:hAnsi="仿宋_GB2312" w:cs="仿宋_GB2312" w:eastAsia="仿宋_GB2312"/>
                      <w:sz w:val="21"/>
                    </w:rPr>
                    <w:t>数据备份与恢复。支持按照用户需求对研究平台的基础资源数据，人员数据等进行备份，防止数据丢失或损坏。在遇到系统故障、数据误删除等情况时，可以及时恢复数据，确保实训室的正常运行；</w:t>
                  </w:r>
                </w:p>
                <w:p>
                  <w:pPr>
                    <w:pStyle w:val="null3"/>
                    <w:jc w:val="left"/>
                  </w:pPr>
                  <w:r>
                    <w:rPr>
                      <w:rFonts w:ascii="仿宋_GB2312" w:hAnsi="仿宋_GB2312" w:cs="仿宋_GB2312" w:eastAsia="仿宋_GB2312"/>
                      <w:sz w:val="21"/>
                    </w:rPr>
                    <w:t>9.</w:t>
                  </w:r>
                  <w:r>
                    <w:rPr>
                      <w:rFonts w:ascii="仿宋_GB2312" w:hAnsi="仿宋_GB2312" w:cs="仿宋_GB2312" w:eastAsia="仿宋_GB2312"/>
                      <w:sz w:val="21"/>
                    </w:rPr>
                    <w:t>数据清理与优化功能。支持对平台中的冗余数据、无效数据进行定期清理，优化数据库结构，提高系统的运行速度和性能。例如，清理过期的操作记录、删除无效的用户信息等，保证数据的整洁和高效；</w:t>
                  </w:r>
                </w:p>
                <w:p>
                  <w:pPr>
                    <w:pStyle w:val="null3"/>
                    <w:jc w:val="both"/>
                  </w:pPr>
                  <w:r>
                    <w:rPr>
                      <w:rFonts w:ascii="仿宋_GB2312" w:hAnsi="仿宋_GB2312" w:cs="仿宋_GB2312" w:eastAsia="仿宋_GB2312"/>
                      <w:sz w:val="21"/>
                    </w:rPr>
                    <w:t>10.</w:t>
                  </w:r>
                  <w:r>
                    <w:rPr>
                      <w:rFonts w:ascii="仿宋_GB2312" w:hAnsi="仿宋_GB2312" w:cs="仿宋_GB2312" w:eastAsia="仿宋_GB2312"/>
                      <w:sz w:val="21"/>
                    </w:rPr>
                    <w:t>数据安全管理功能。通过设置访问权限、加密传输、数据脱敏等技术手段，保障研究中心数据的安全。只有具有相应权限的用户才能访问和操作相关数据，防止数据泄露和被非法篡改。同时，对数据的访问和操作进行日志记录，以便进行审计和追溯。</w:t>
                  </w:r>
                </w:p>
              </w:tc>
              <w:tc>
                <w:tcPr>
                  <w:tcW w:type="dxa" w:w="239"/>
                  <w:tcBorders>
                    <w:top w:val="none" w:color="000000" w:sz="4"/>
                    <w:left w:val="none" w:color="000000" w:sz="4"/>
                    <w:bottom w:val="single" w:color="000000" w:sz="4"/>
                    <w:right w:val="single" w:color="000000" w:sz="4"/>
                  </w:tcBorders>
                  <w:tcMar>
                    <w:top w:type="dxa" w:w="0"/>
                    <w:left w:type="dxa" w:w="30"/>
                    <w:bottom w:type="dxa" w:w="0"/>
                    <w:right w:type="dxa" w:w="30"/>
                  </w:tcMar>
                </w:tcPr>
                <w:p>
                  <w:pPr>
                    <w:pStyle w:val="null3"/>
                    <w:spacing w:before="120"/>
                    <w:jc w:val="center"/>
                  </w:pPr>
                  <w:r>
                    <w:rPr>
                      <w:rFonts w:ascii="仿宋_GB2312" w:hAnsi="仿宋_GB2312" w:cs="仿宋_GB2312" w:eastAsia="仿宋_GB2312"/>
                      <w:sz w:val="21"/>
                    </w:rPr>
                    <w:t>1</w:t>
                  </w:r>
                  <w:r>
                    <w:rPr>
                      <w:rFonts w:ascii="仿宋_GB2312" w:hAnsi="仿宋_GB2312" w:cs="仿宋_GB2312" w:eastAsia="仿宋_GB2312"/>
                      <w:sz w:val="21"/>
                    </w:rPr>
                    <w:t>套</w:t>
                  </w:r>
                </w:p>
              </w:tc>
            </w:tr>
            <w:tr>
              <w:tc>
                <w:tcPr>
                  <w:tcW w:type="dxa" w:w="174"/>
                  <w:tcBorders>
                    <w:top w:val="none" w:color="000000" w:sz="4"/>
                    <w:left w:val="single" w:color="000000" w:sz="4"/>
                    <w:bottom w:val="single" w:color="000000" w:sz="4"/>
                    <w:right w:val="none" w:color="000000" w:sz="4"/>
                  </w:tcBorders>
                  <w:tcMar>
                    <w:top w:type="dxa" w:w="0"/>
                    <w:left w:type="dxa" w:w="30"/>
                    <w:bottom w:type="dxa" w:w="0"/>
                    <w:right w:type="dxa" w:w="30"/>
                  </w:tcMar>
                </w:tcPr>
                <w:p>
                  <w:pPr>
                    <w:pStyle w:val="null3"/>
                    <w:numPr>
                      <w:ilvl w:val="0"/>
                      <w:numId w:val="1"/>
                    </w:numPr>
                    <w:jc w:val="both"/>
                  </w:pPr>
                </w:p>
              </w:tc>
              <w:tc>
                <w:tcPr>
                  <w:tcW w:type="dxa" w:w="267"/>
                  <w:tcBorders>
                    <w:top w:val="none" w:color="000000" w:sz="4"/>
                    <w:left w:val="single" w:color="000000" w:sz="4"/>
                    <w:bottom w:val="single" w:color="000000" w:sz="4"/>
                    <w:right w:val="single" w:color="000000" w:sz="4"/>
                  </w:tcBorders>
                  <w:tcMar>
                    <w:top w:type="dxa" w:w="0"/>
                    <w:left w:type="dxa" w:w="30"/>
                    <w:bottom w:type="dxa" w:w="0"/>
                    <w:right w:type="dxa" w:w="30"/>
                  </w:tcMar>
                </w:tcPr>
                <w:p>
                  <w:pPr>
                    <w:pStyle w:val="null3"/>
                    <w:spacing w:before="120"/>
                    <w:jc w:val="center"/>
                  </w:pPr>
                  <w:r>
                    <w:rPr>
                      <w:rFonts w:ascii="仿宋_GB2312" w:hAnsi="仿宋_GB2312" w:cs="仿宋_GB2312" w:eastAsia="仿宋_GB2312"/>
                      <w:sz w:val="21"/>
                    </w:rPr>
                    <w:t>数字技术在地文化研究平台</w:t>
                  </w:r>
                </w:p>
              </w:tc>
              <w:tc>
                <w:tcPr>
                  <w:tcW w:type="dxa" w:w="1868"/>
                  <w:tcBorders>
                    <w:top w:val="none" w:color="000000" w:sz="4"/>
                    <w:left w:val="none" w:color="000000" w:sz="4"/>
                    <w:bottom w:val="single" w:color="000000" w:sz="4"/>
                    <w:right w:val="single" w:color="000000" w:sz="4"/>
                  </w:tcBorders>
                  <w:tcMar>
                    <w:top w:type="dxa" w:w="0"/>
                    <w:left w:type="dxa" w:w="30"/>
                    <w:bottom w:type="dxa" w:w="0"/>
                    <w:right w:type="dxa" w:w="30"/>
                  </w:tcMar>
                </w:tcPr>
                <w:p>
                  <w:pPr>
                    <w:pStyle w:val="null3"/>
                    <w:ind w:firstLine="420"/>
                    <w:jc w:val="both"/>
                  </w:pPr>
                  <w:r>
                    <w:rPr>
                      <w:rFonts w:ascii="仿宋_GB2312" w:hAnsi="仿宋_GB2312" w:cs="仿宋_GB2312" w:eastAsia="仿宋_GB2312"/>
                      <w:sz w:val="21"/>
                    </w:rPr>
                    <w:t>数字技术在地文化研究平台聚焦数字技术与地方文化研究的深度融合，致力于打造集地方文化资源数字化管理、文化内涵挖掘分析、创新应用研究与成果展示于一体的综合性平台，为学术研究、文化传承及产业发展提供技术支撑与科研实践空间。平台功能要求：</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数字技术在地文化研究平台要求必须与智慧文旅产业研究基础管理平台实现统一人员身份认证和人员管理。即通过基础平台登录后可保证该平台的正常使用，避免重复登录，数据冗余；</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平台必须支持专业师生开展：文化活化、文化传播、创建文化IP等三大类型的技术文化融合在线研究项目的开展；</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3.</w:t>
                  </w:r>
                  <w:r>
                    <w:rPr>
                      <w:rFonts w:ascii="仿宋_GB2312" w:hAnsi="仿宋_GB2312" w:cs="仿宋_GB2312" w:eastAsia="仿宋_GB2312"/>
                      <w:sz w:val="21"/>
                    </w:rPr>
                    <w:t>要求平台搭建文旅数字技术中心。中心必须提供当前市场主流的数字技术模块，包括：VR、AR、MR、AI、大数据、区块链、全息投影、3D、5G、云计算、数字孪生、知识图谱等12项数字技术专题教学研究模块；（提供投标人盖章的软件功能截图证明）</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要求数字技术中心必须支持持续可拓，即用户可根据市场技术发展迭代，进行技术类型的更新升级以及扩展，满足新增技术类型，包括技术类型特点，技术文旅应用案例等；</w:t>
                  </w:r>
                </w:p>
                <w:p>
                  <w:pPr>
                    <w:pStyle w:val="null3"/>
                    <w:jc w:val="left"/>
                  </w:pPr>
                  <w:r>
                    <w:rPr>
                      <w:rFonts w:ascii="仿宋_GB2312" w:hAnsi="仿宋_GB2312" w:cs="仿宋_GB2312" w:eastAsia="仿宋_GB2312"/>
                      <w:sz w:val="21"/>
                    </w:rPr>
                    <w:t>5.</w:t>
                  </w:r>
                  <w:r>
                    <w:rPr>
                      <w:rFonts w:ascii="仿宋_GB2312" w:hAnsi="仿宋_GB2312" w:cs="仿宋_GB2312" w:eastAsia="仿宋_GB2312"/>
                      <w:sz w:val="21"/>
                    </w:rPr>
                    <w:t>要求平台提供陕西以及西安文化标签库。平台自带陕西历史遗迹、非遗技艺、传统民俗、红色旅游、历史名人、文博专题等六类文化；</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6.</w:t>
                  </w:r>
                  <w:r>
                    <w:rPr>
                      <w:rFonts w:ascii="仿宋_GB2312" w:hAnsi="仿宋_GB2312" w:cs="仿宋_GB2312" w:eastAsia="仿宋_GB2312"/>
                      <w:sz w:val="21"/>
                    </w:rPr>
                    <w:t>平台管理端口提供数字技术在地文化文旅产业应用典型案例库以供师生进行参考借鉴。要求每个典型案例含案例名称，案例内容，案例解析。案例内容采用图文，视频技术实现可视化展示；（提供投标人盖章的软件功能截图证明）</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7.</w:t>
                  </w:r>
                  <w:r>
                    <w:rPr>
                      <w:rFonts w:ascii="仿宋_GB2312" w:hAnsi="仿宋_GB2312" w:cs="仿宋_GB2312" w:eastAsia="仿宋_GB2312"/>
                      <w:sz w:val="21"/>
                    </w:rPr>
                    <w:t>平台典型案例模块支持教师和学生进行在线评论分析，支持教师利用案例开展教学活动；（提供投标人盖章的软件功能截图证明）</w:t>
                  </w:r>
                </w:p>
                <w:p>
                  <w:pPr>
                    <w:pStyle w:val="null3"/>
                    <w:jc w:val="left"/>
                  </w:pPr>
                  <w:r>
                    <w:rPr>
                      <w:rFonts w:ascii="仿宋_GB2312" w:hAnsi="仿宋_GB2312" w:cs="仿宋_GB2312" w:eastAsia="仿宋_GB2312"/>
                      <w:sz w:val="21"/>
                    </w:rPr>
                    <w:t>要求必须提供：文化内涵挖掘-数字敦煌、文化活化—数说犀尊、创建文化IP—数字艺术“红飘带”等，每个案例必须提供视频展示，数字技术与地方文化融合案例解析；</w:t>
                  </w:r>
                </w:p>
                <w:p>
                  <w:pPr>
                    <w:pStyle w:val="null3"/>
                    <w:jc w:val="left"/>
                  </w:pPr>
                  <w:r>
                    <w:rPr>
                      <w:rFonts w:ascii="仿宋_GB2312" w:hAnsi="仿宋_GB2312" w:cs="仿宋_GB2312" w:eastAsia="仿宋_GB2312"/>
                      <w:sz w:val="21"/>
                    </w:rPr>
                    <w:t>8.</w:t>
                  </w:r>
                  <w:r>
                    <w:rPr>
                      <w:rFonts w:ascii="仿宋_GB2312" w:hAnsi="仿宋_GB2312" w:cs="仿宋_GB2312" w:eastAsia="仿宋_GB2312"/>
                      <w:sz w:val="21"/>
                    </w:rPr>
                    <w:t>平台支持教师根据研究项目需求在研究中心模块创建研究项目任务，创建项目名称，项目背景，研究对象，研究路径等，同时支持教师将研究任务发布给班级学生；</w:t>
                  </w:r>
                </w:p>
                <w:p>
                  <w:pPr>
                    <w:pStyle w:val="null3"/>
                    <w:jc w:val="left"/>
                  </w:pPr>
                  <w:r>
                    <w:rPr>
                      <w:rFonts w:ascii="仿宋_GB2312" w:hAnsi="仿宋_GB2312" w:cs="仿宋_GB2312" w:eastAsia="仿宋_GB2312"/>
                      <w:sz w:val="21"/>
                    </w:rPr>
                    <w:t>9.</w:t>
                  </w:r>
                  <w:r>
                    <w:rPr>
                      <w:rFonts w:ascii="仿宋_GB2312" w:hAnsi="仿宋_GB2312" w:cs="仿宋_GB2312" w:eastAsia="仿宋_GB2312"/>
                      <w:sz w:val="21"/>
                    </w:rPr>
                    <w:t>支持教师可对学生接受/自主创建的研究项目任务进行跟踪掌握研究进度，查看评估学生提交的研究报告；</w:t>
                  </w:r>
                </w:p>
                <w:p>
                  <w:pPr>
                    <w:pStyle w:val="null3"/>
                    <w:jc w:val="left"/>
                  </w:pPr>
                  <w:r>
                    <w:rPr>
                      <w:rFonts w:ascii="仿宋_GB2312" w:hAnsi="仿宋_GB2312" w:cs="仿宋_GB2312" w:eastAsia="仿宋_GB2312"/>
                      <w:sz w:val="21"/>
                    </w:rPr>
                    <w:t>10.</w:t>
                  </w:r>
                  <w:r>
                    <w:rPr>
                      <w:rFonts w:ascii="仿宋_GB2312" w:hAnsi="仿宋_GB2312" w:cs="仿宋_GB2312" w:eastAsia="仿宋_GB2312"/>
                      <w:sz w:val="21"/>
                    </w:rPr>
                    <w:t>平台学生端项目研究模块支支持任务研究和自主创建研究项目两种模式；</w:t>
                  </w:r>
                </w:p>
                <w:p>
                  <w:pPr>
                    <w:pStyle w:val="null3"/>
                    <w:jc w:val="left"/>
                  </w:pPr>
                  <w:r>
                    <w:rPr>
                      <w:rFonts w:ascii="仿宋_GB2312" w:hAnsi="仿宋_GB2312" w:cs="仿宋_GB2312" w:eastAsia="仿宋_GB2312"/>
                      <w:sz w:val="21"/>
                    </w:rPr>
                    <w:t>11.</w:t>
                  </w:r>
                  <w:r>
                    <w:rPr>
                      <w:rFonts w:ascii="仿宋_GB2312" w:hAnsi="仿宋_GB2312" w:cs="仿宋_GB2312" w:eastAsia="仿宋_GB2312"/>
                      <w:sz w:val="21"/>
                    </w:rPr>
                    <w:t>学生完成研究项目后，支持自动生成研究报告，且研究报告支持在线预览下载；</w:t>
                  </w:r>
                </w:p>
                <w:p>
                  <w:pPr>
                    <w:pStyle w:val="null3"/>
                    <w:jc w:val="left"/>
                  </w:pPr>
                  <w:r>
                    <w:rPr>
                      <w:rFonts w:ascii="仿宋_GB2312" w:hAnsi="仿宋_GB2312" w:cs="仿宋_GB2312" w:eastAsia="仿宋_GB2312"/>
                      <w:sz w:val="21"/>
                    </w:rPr>
                    <w:t>12.</w:t>
                  </w:r>
                  <w:r>
                    <w:rPr>
                      <w:rFonts w:ascii="仿宋_GB2312" w:hAnsi="仿宋_GB2312" w:cs="仿宋_GB2312" w:eastAsia="仿宋_GB2312"/>
                      <w:sz w:val="21"/>
                    </w:rPr>
                    <w:t>平台支持学生在线开展“地方文化”知识图谱生成研究实验，要求必须实现：</w:t>
                  </w:r>
                </w:p>
                <w:p>
                  <w:pPr>
                    <w:pStyle w:val="null3"/>
                    <w:jc w:val="left"/>
                  </w:pPr>
                  <w:r>
                    <w:rPr>
                      <w:rFonts w:ascii="仿宋_GB2312" w:hAnsi="仿宋_GB2312" w:cs="仿宋_GB2312" w:eastAsia="仿宋_GB2312"/>
                      <w:sz w:val="21"/>
                    </w:rPr>
                    <w:t>（1）多源数据接入：支持导入 JSON、XML 等结构化数据资源包，以及 PDF、文本文件、图片、视频、音频等非结构化数据源，通过可视化数据算法，自动识别并抽取实体关系；形成系统唯一标识源；</w:t>
                  </w:r>
                </w:p>
                <w:p>
                  <w:pPr>
                    <w:pStyle w:val="null3"/>
                    <w:jc w:val="left"/>
                  </w:pPr>
                  <w:r>
                    <w:rPr>
                      <w:rFonts w:ascii="仿宋_GB2312" w:hAnsi="仿宋_GB2312" w:cs="仿宋_GB2312" w:eastAsia="仿宋_GB2312"/>
                      <w:sz w:val="21"/>
                    </w:rPr>
                    <w:t>（2）可视化编辑：提供可视化操作界面，用户可自由添加、删除、修改图谱节点关联，调整布局，实时预览图谱结构，支持节点属性编辑与关系标注；</w:t>
                  </w:r>
                </w:p>
                <w:p>
                  <w:pPr>
                    <w:pStyle w:val="null3"/>
                    <w:jc w:val="left"/>
                  </w:pPr>
                  <w:r>
                    <w:rPr>
                      <w:rFonts w:ascii="仿宋_GB2312" w:hAnsi="仿宋_GB2312" w:cs="仿宋_GB2312" w:eastAsia="仿宋_GB2312"/>
                      <w:sz w:val="21"/>
                    </w:rPr>
                    <w:t>（3）检索与分析：支持关键词、属性条件检索，通过图关系实现路径分析、辅助知识探索与决策；</w:t>
                  </w:r>
                </w:p>
                <w:p>
                  <w:pPr>
                    <w:pStyle w:val="null3"/>
                    <w:jc w:val="left"/>
                  </w:pPr>
                  <w:r>
                    <w:rPr>
                      <w:rFonts w:ascii="仿宋_GB2312" w:hAnsi="仿宋_GB2312" w:cs="仿宋_GB2312" w:eastAsia="仿宋_GB2312"/>
                      <w:sz w:val="21"/>
                    </w:rPr>
                    <w:t>（4）图谱导出与共享：支持将生成的知识图谱以 XML、JSON 等格式导出，提供在线分享链接，方便与他人协作交流</w:t>
                  </w:r>
                </w:p>
                <w:p>
                  <w:pPr>
                    <w:pStyle w:val="null3"/>
                    <w:jc w:val="left"/>
                  </w:pPr>
                  <w:r>
                    <w:rPr>
                      <w:rFonts w:ascii="仿宋_GB2312" w:hAnsi="仿宋_GB2312" w:cs="仿宋_GB2312" w:eastAsia="仿宋_GB2312"/>
                      <w:sz w:val="21"/>
                    </w:rPr>
                    <w:t>13.</w:t>
                  </w:r>
                  <w:r>
                    <w:rPr>
                      <w:rFonts w:ascii="仿宋_GB2312" w:hAnsi="仿宋_GB2312" w:cs="仿宋_GB2312" w:eastAsia="仿宋_GB2312"/>
                      <w:sz w:val="21"/>
                    </w:rPr>
                    <w:t>平台提供AI导学模块，作为专项研究智能辅助工具，可以协助教师快速解决处理多种研究问题，提供项目研究思路。提升学生的AI数字素养和研究数据的分析研究效率和可行性；</w:t>
                  </w:r>
                </w:p>
                <w:p>
                  <w:pPr>
                    <w:pStyle w:val="null3"/>
                    <w:jc w:val="left"/>
                  </w:pPr>
                  <w:r>
                    <w:rPr>
                      <w:rFonts w:ascii="仿宋_GB2312" w:hAnsi="仿宋_GB2312" w:cs="仿宋_GB2312" w:eastAsia="仿宋_GB2312"/>
                      <w:sz w:val="21"/>
                    </w:rPr>
                    <w:t>14.</w:t>
                  </w:r>
                  <w:r>
                    <w:rPr>
                      <w:rFonts w:ascii="仿宋_GB2312" w:hAnsi="仿宋_GB2312" w:cs="仿宋_GB2312" w:eastAsia="仿宋_GB2312"/>
                      <w:sz w:val="21"/>
                    </w:rPr>
                    <w:t>平台数据中心自动统计汇总分析平台的基础数据，研究资源，研究项目，研究成果，以数字看板图标的形式进行可视化的展示。不同身份展示不同的数据看板内容，如：平台人员数据，技术类型以及应用对比分析看板，文化标签数据图表，研究项目数据分析统计图表等。支持用户以及中心管理员快速直观的了解掌握平台的应用情况。</w:t>
                  </w:r>
                </w:p>
              </w:tc>
              <w:tc>
                <w:tcPr>
                  <w:tcW w:type="dxa" w:w="239"/>
                  <w:tcBorders>
                    <w:top w:val="none" w:color="000000" w:sz="4"/>
                    <w:left w:val="none" w:color="000000" w:sz="4"/>
                    <w:bottom w:val="single" w:color="000000" w:sz="4"/>
                    <w:right w:val="single" w:color="000000" w:sz="4"/>
                  </w:tcBorders>
                  <w:tcMar>
                    <w:top w:type="dxa" w:w="0"/>
                    <w:left w:type="dxa" w:w="30"/>
                    <w:bottom w:type="dxa" w:w="0"/>
                    <w:right w:type="dxa" w:w="30"/>
                  </w:tcMar>
                </w:tcPr>
                <w:p>
                  <w:pPr>
                    <w:pStyle w:val="null3"/>
                    <w:spacing w:before="120"/>
                    <w:jc w:val="center"/>
                  </w:pPr>
                  <w:r>
                    <w:rPr>
                      <w:rFonts w:ascii="仿宋_GB2312" w:hAnsi="仿宋_GB2312" w:cs="仿宋_GB2312" w:eastAsia="仿宋_GB2312"/>
                      <w:sz w:val="21"/>
                    </w:rPr>
                    <w:t>1</w:t>
                  </w:r>
                  <w:r>
                    <w:rPr>
                      <w:rFonts w:ascii="仿宋_GB2312" w:hAnsi="仿宋_GB2312" w:cs="仿宋_GB2312" w:eastAsia="仿宋_GB2312"/>
                      <w:sz w:val="21"/>
                    </w:rPr>
                    <w:t>套</w:t>
                  </w:r>
                </w:p>
              </w:tc>
            </w:tr>
            <w:tr>
              <w:tc>
                <w:tcPr>
                  <w:tcW w:type="dxa" w:w="174"/>
                  <w:tcBorders>
                    <w:top w:val="none" w:color="000000" w:sz="4"/>
                    <w:left w:val="single" w:color="000000" w:sz="4"/>
                    <w:bottom w:val="single" w:color="000000" w:sz="4"/>
                    <w:right w:val="none" w:color="000000" w:sz="4"/>
                  </w:tcBorders>
                  <w:tcMar>
                    <w:top w:type="dxa" w:w="0"/>
                    <w:left w:type="dxa" w:w="30"/>
                    <w:bottom w:type="dxa" w:w="0"/>
                    <w:right w:type="dxa" w:w="30"/>
                  </w:tcMar>
                </w:tcPr>
                <w:p>
                  <w:pPr>
                    <w:pStyle w:val="null3"/>
                    <w:numPr>
                      <w:ilvl w:val="0"/>
                      <w:numId w:val="1"/>
                    </w:numPr>
                    <w:jc w:val="both"/>
                  </w:pPr>
                </w:p>
              </w:tc>
              <w:tc>
                <w:tcPr>
                  <w:tcW w:type="dxa" w:w="267"/>
                  <w:tcBorders>
                    <w:top w:val="none" w:color="000000" w:sz="4"/>
                    <w:left w:val="single" w:color="000000" w:sz="4"/>
                    <w:bottom w:val="single" w:color="000000" w:sz="4"/>
                    <w:right w:val="single" w:color="000000" w:sz="4"/>
                  </w:tcBorders>
                  <w:tcMar>
                    <w:top w:type="dxa" w:w="0"/>
                    <w:left w:type="dxa" w:w="30"/>
                    <w:bottom w:type="dxa" w:w="0"/>
                    <w:right w:type="dxa" w:w="30"/>
                  </w:tcMar>
                </w:tcPr>
                <w:p>
                  <w:pPr>
                    <w:pStyle w:val="null3"/>
                    <w:spacing w:before="120"/>
                    <w:jc w:val="center"/>
                  </w:pPr>
                  <w:r>
                    <w:rPr>
                      <w:rFonts w:ascii="仿宋_GB2312" w:hAnsi="仿宋_GB2312" w:cs="仿宋_GB2312" w:eastAsia="仿宋_GB2312"/>
                      <w:sz w:val="21"/>
                    </w:rPr>
                    <w:t>旅游新业态研究平台</w:t>
                  </w:r>
                </w:p>
              </w:tc>
              <w:tc>
                <w:tcPr>
                  <w:tcW w:type="dxa" w:w="1868"/>
                  <w:tcBorders>
                    <w:top w:val="none" w:color="000000" w:sz="4"/>
                    <w:left w:val="none" w:color="000000" w:sz="4"/>
                    <w:bottom w:val="single" w:color="000000" w:sz="4"/>
                    <w:right w:val="single" w:color="000000" w:sz="4"/>
                  </w:tcBorders>
                  <w:tcMar>
                    <w:top w:type="dxa" w:w="0"/>
                    <w:left w:type="dxa" w:w="30"/>
                    <w:bottom w:type="dxa" w:w="0"/>
                    <w:right w:type="dxa" w:w="30"/>
                  </w:tcMar>
                </w:tcPr>
                <w:p>
                  <w:pPr>
                    <w:pStyle w:val="null3"/>
                    <w:ind w:firstLine="420"/>
                    <w:jc w:val="both"/>
                  </w:pPr>
                  <w:r>
                    <w:rPr>
                      <w:rFonts w:ascii="仿宋_GB2312" w:hAnsi="仿宋_GB2312" w:cs="仿宋_GB2312" w:eastAsia="仿宋_GB2312"/>
                      <w:sz w:val="21"/>
                    </w:rPr>
                    <w:t>旅游新业态研究平台专注于对旅游前沿领域的研究与探索。平台采用大数据，互联网，AI模型算法等多项技术融合多学科资源，致力于解析新兴旅游模式的发展脉络，探索文旅业态发展趋势。平台聚焦研学旅行、康养旅游、红色旅游、乡村旅游、体育旅游、工业旅游、邮轮旅游等热门业态，深挖游客需求与产业痛点。通过产学研深度融合，为专业师生提供前沿理论学习与实践机会，助力其产出高质量研究成果，为旅游行业的创新升级培育高端人才，推动旅游新业态的蓬勃发展。平台要求如下：</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旅游新业态研究</w:t>
                  </w:r>
                  <w:r>
                    <w:rPr>
                      <w:rFonts w:ascii="仿宋_GB2312" w:hAnsi="仿宋_GB2312" w:cs="仿宋_GB2312" w:eastAsia="仿宋_GB2312"/>
                      <w:sz w:val="21"/>
                    </w:rPr>
                    <w:t>平台要求必须与智慧文旅产业研究基础管理平台实现统一人员身份认证和人员管理。即通过基础平台登录后可保证该平台的正常使用，避免重复登录，数据冗余；</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旅游业态数据综合看板。通过算法模型，结合研学旅行、红色旅游、康养旅游、生态旅游、乡村旅游、邮轮旅游、体育旅游、旅拍旅游、文化旅游、休闲旅游等10类旅游业态的数据模型，按照业态类型计算业态热度指数；</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平台综合看板展示按照业态类型，省份区域，数据类型进行数据的动态展示；</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研学旅行业态专题模块。平台展示研学旅行的资讯、政策法规、产品（课程、线路）等子目录数据信息，展示不同类型内容的数据量并支持师生进行详情阅览；</w:t>
                  </w:r>
                </w:p>
                <w:p>
                  <w:pPr>
                    <w:pStyle w:val="null3"/>
                    <w:jc w:val="both"/>
                  </w:pPr>
                  <w:r>
                    <w:rPr>
                      <w:rFonts w:ascii="仿宋_GB2312" w:hAnsi="仿宋_GB2312" w:cs="仿宋_GB2312" w:eastAsia="仿宋_GB2312"/>
                      <w:sz w:val="21"/>
                    </w:rPr>
                    <w:t>5.</w:t>
                  </w:r>
                  <w:r>
                    <w:rPr>
                      <w:rFonts w:ascii="仿宋_GB2312" w:hAnsi="仿宋_GB2312" w:cs="仿宋_GB2312" w:eastAsia="仿宋_GB2312"/>
                      <w:sz w:val="21"/>
                    </w:rPr>
                    <w:t>红色旅游业态专题模块。平台展示红色旅游的资讯、产品（基地、线路）等子目录数据信息，展示不同类型内容的数据量并支持师生进行详情阅览；</w:t>
                  </w:r>
                </w:p>
                <w:p>
                  <w:pPr>
                    <w:pStyle w:val="null3"/>
                    <w:jc w:val="both"/>
                  </w:pPr>
                  <w:r>
                    <w:rPr>
                      <w:rFonts w:ascii="仿宋_GB2312" w:hAnsi="仿宋_GB2312" w:cs="仿宋_GB2312" w:eastAsia="仿宋_GB2312"/>
                      <w:sz w:val="21"/>
                    </w:rPr>
                    <w:t>6.</w:t>
                  </w:r>
                  <w:r>
                    <w:rPr>
                      <w:rFonts w:ascii="仿宋_GB2312" w:hAnsi="仿宋_GB2312" w:cs="仿宋_GB2312" w:eastAsia="仿宋_GB2312"/>
                      <w:sz w:val="21"/>
                    </w:rPr>
                    <w:t>乡村旅游业态专题模块。平台展示乡村旅游的资讯、政策法规、产品（示范村、线路）等子目录数据信息，展示不同类型内容的数据量并支持师生进行详情阅览；</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7.</w:t>
                  </w:r>
                  <w:r>
                    <w:rPr>
                      <w:rFonts w:ascii="仿宋_GB2312" w:hAnsi="仿宋_GB2312" w:cs="仿宋_GB2312" w:eastAsia="仿宋_GB2312"/>
                      <w:sz w:val="21"/>
                    </w:rPr>
                    <w:t>工业旅游业态专题模块。平台展示工业旅游的资讯、政策法规、产品（基地、线路）等子目录数据信息，展示不同类型内容的数据量并支持师生进行详情阅览；</w:t>
                  </w:r>
                  <w:r>
                    <w:rPr>
                      <w:rFonts w:ascii="仿宋_GB2312" w:hAnsi="仿宋_GB2312" w:cs="仿宋_GB2312" w:eastAsia="仿宋_GB2312"/>
                      <w:sz w:val="21"/>
                    </w:rPr>
                    <w:t>（提供投标人盖章的软件功能截图证明）</w:t>
                  </w:r>
                </w:p>
                <w:p>
                  <w:pPr>
                    <w:pStyle w:val="null3"/>
                    <w:jc w:val="both"/>
                  </w:pPr>
                  <w:r>
                    <w:rPr>
                      <w:rFonts w:ascii="仿宋_GB2312" w:hAnsi="仿宋_GB2312" w:cs="仿宋_GB2312" w:eastAsia="仿宋_GB2312"/>
                      <w:sz w:val="21"/>
                    </w:rPr>
                    <w:t>8.</w:t>
                  </w:r>
                  <w:r>
                    <w:rPr>
                      <w:rFonts w:ascii="仿宋_GB2312" w:hAnsi="仿宋_GB2312" w:cs="仿宋_GB2312" w:eastAsia="仿宋_GB2312"/>
                      <w:sz w:val="21"/>
                    </w:rPr>
                    <w:t>体育旅游业态专题模块。平台展示体育旅游的资讯、政策法规、产品（线路、赛事）等子目录数据信息，展示不同类型内容的数据量并支持师生进行详情阅览；</w:t>
                  </w:r>
                </w:p>
                <w:p>
                  <w:pPr>
                    <w:pStyle w:val="null3"/>
                    <w:jc w:val="both"/>
                  </w:pPr>
                  <w:r>
                    <w:rPr>
                      <w:rFonts w:ascii="仿宋_GB2312" w:hAnsi="仿宋_GB2312" w:cs="仿宋_GB2312" w:eastAsia="仿宋_GB2312"/>
                      <w:sz w:val="21"/>
                    </w:rPr>
                    <w:t>9.</w:t>
                  </w:r>
                  <w:r>
                    <w:rPr>
                      <w:rFonts w:ascii="仿宋_GB2312" w:hAnsi="仿宋_GB2312" w:cs="仿宋_GB2312" w:eastAsia="仿宋_GB2312"/>
                      <w:sz w:val="21"/>
                    </w:rPr>
                    <w:t>邮轮旅游业态专题模块。平台展示邮轮旅游的资讯、政策法规、产品（公司、港口、线路）等子目录数据信息，展示不同类型内容的数据量并支持师生进行详情阅览；</w:t>
                  </w:r>
                </w:p>
                <w:p>
                  <w:pPr>
                    <w:pStyle w:val="null3"/>
                    <w:jc w:val="both"/>
                  </w:pPr>
                  <w:r>
                    <w:rPr>
                      <w:rFonts w:ascii="仿宋_GB2312" w:hAnsi="仿宋_GB2312" w:cs="仿宋_GB2312" w:eastAsia="仿宋_GB2312"/>
                      <w:sz w:val="21"/>
                    </w:rPr>
                    <w:t>10.</w:t>
                  </w:r>
                  <w:r>
                    <w:rPr>
                      <w:rFonts w:ascii="仿宋_GB2312" w:hAnsi="仿宋_GB2312" w:cs="仿宋_GB2312" w:eastAsia="仿宋_GB2312"/>
                      <w:sz w:val="21"/>
                    </w:rPr>
                    <w:t>态势监测</w:t>
                  </w:r>
                </w:p>
                <w:p>
                  <w:pPr>
                    <w:pStyle w:val="null3"/>
                    <w:jc w:val="both"/>
                  </w:pPr>
                  <w:r>
                    <w:rPr>
                      <w:rFonts w:ascii="仿宋_GB2312" w:hAnsi="仿宋_GB2312" w:cs="仿宋_GB2312" w:eastAsia="仿宋_GB2312"/>
                      <w:sz w:val="21"/>
                    </w:rPr>
                    <w:t>可根据用户需求，按照时间段进行新业态数据的态度监测更新。实现持续监测下10中新业态的 行业数据的变化情况，直观了解市场上业态的核心数据变化趋势，为师生的业态研究提供有效的数据依据。</w:t>
                  </w:r>
                </w:p>
                <w:p>
                  <w:pPr>
                    <w:pStyle w:val="null3"/>
                    <w:jc w:val="both"/>
                  </w:pPr>
                  <w:r>
                    <w:rPr>
                      <w:rFonts w:ascii="仿宋_GB2312" w:hAnsi="仿宋_GB2312" w:cs="仿宋_GB2312" w:eastAsia="仿宋_GB2312"/>
                      <w:sz w:val="21"/>
                    </w:rPr>
                    <w:t>11.</w:t>
                  </w:r>
                  <w:r>
                    <w:rPr>
                      <w:rFonts w:ascii="仿宋_GB2312" w:hAnsi="仿宋_GB2312" w:cs="仿宋_GB2312" w:eastAsia="仿宋_GB2312"/>
                      <w:sz w:val="21"/>
                    </w:rPr>
                    <w:t>基于大数据的旅游业态分析研究。支持师生在项目研究模块针对性的选择某一业态，确定研究维度，筛选研究数据，建立研究路径以及私有业态研究数据库，开展在线研究。最终生成研究报告，支持提交教师进行研究项目的评估和批阅；</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12.</w:t>
                  </w:r>
                  <w:r>
                    <w:rPr>
                      <w:rFonts w:ascii="仿宋_GB2312" w:hAnsi="仿宋_GB2312" w:cs="仿宋_GB2312" w:eastAsia="仿宋_GB2312"/>
                      <w:sz w:val="21"/>
                    </w:rPr>
                    <w:t>平台提供AI导学模块，作为专项研究智能辅助工具，可以协助教师快速解决处理多种研究问题，提供项目研究思路。提升学生的AI数字素养和研究数据的分析研究效率和可行性。（提供投标人盖章的软件功能截图证明）</w:t>
                  </w:r>
                </w:p>
              </w:tc>
              <w:tc>
                <w:tcPr>
                  <w:tcW w:type="dxa" w:w="239"/>
                  <w:tcBorders>
                    <w:top w:val="none" w:color="000000" w:sz="4"/>
                    <w:left w:val="none" w:color="000000" w:sz="4"/>
                    <w:bottom w:val="single" w:color="000000" w:sz="4"/>
                    <w:right w:val="single" w:color="000000" w:sz="4"/>
                  </w:tcBorders>
                  <w:tcMar>
                    <w:top w:type="dxa" w:w="0"/>
                    <w:left w:type="dxa" w:w="30"/>
                    <w:bottom w:type="dxa" w:w="0"/>
                    <w:right w:type="dxa" w:w="30"/>
                  </w:tcMar>
                </w:tcPr>
                <w:p>
                  <w:pPr>
                    <w:pStyle w:val="null3"/>
                    <w:spacing w:before="120"/>
                    <w:jc w:val="center"/>
                  </w:pPr>
                  <w:r>
                    <w:rPr>
                      <w:rFonts w:ascii="仿宋_GB2312" w:hAnsi="仿宋_GB2312" w:cs="仿宋_GB2312" w:eastAsia="仿宋_GB2312"/>
                      <w:sz w:val="21"/>
                    </w:rPr>
                    <w:t>1</w:t>
                  </w:r>
                  <w:r>
                    <w:rPr>
                      <w:rFonts w:ascii="仿宋_GB2312" w:hAnsi="仿宋_GB2312" w:cs="仿宋_GB2312" w:eastAsia="仿宋_GB2312"/>
                      <w:sz w:val="21"/>
                    </w:rPr>
                    <w:t>套</w:t>
                  </w:r>
                </w:p>
              </w:tc>
            </w:tr>
            <w:tr>
              <w:tc>
                <w:tcPr>
                  <w:tcW w:type="dxa" w:w="174"/>
                  <w:tcBorders>
                    <w:top w:val="none" w:color="000000" w:sz="4"/>
                    <w:left w:val="single" w:color="000000" w:sz="4"/>
                    <w:bottom w:val="single" w:color="000000" w:sz="4"/>
                    <w:right w:val="none" w:color="000000" w:sz="4"/>
                  </w:tcBorders>
                  <w:tcMar>
                    <w:top w:type="dxa" w:w="0"/>
                    <w:left w:type="dxa" w:w="30"/>
                    <w:bottom w:type="dxa" w:w="0"/>
                    <w:right w:type="dxa" w:w="30"/>
                  </w:tcMar>
                </w:tcPr>
                <w:p>
                  <w:pPr>
                    <w:pStyle w:val="null3"/>
                    <w:numPr>
                      <w:ilvl w:val="0"/>
                      <w:numId w:val="1"/>
                    </w:numPr>
                    <w:jc w:val="both"/>
                  </w:pPr>
                </w:p>
              </w:tc>
              <w:tc>
                <w:tcPr>
                  <w:tcW w:type="dxa" w:w="267"/>
                  <w:tcBorders>
                    <w:top w:val="none" w:color="000000" w:sz="4"/>
                    <w:left w:val="single" w:color="000000" w:sz="4"/>
                    <w:bottom w:val="single" w:color="000000" w:sz="4"/>
                    <w:right w:val="single" w:color="000000" w:sz="4"/>
                  </w:tcBorders>
                  <w:tcMar>
                    <w:top w:type="dxa" w:w="0"/>
                    <w:left w:type="dxa" w:w="30"/>
                    <w:bottom w:type="dxa" w:w="0"/>
                    <w:right w:type="dxa" w:w="30"/>
                  </w:tcMar>
                </w:tcPr>
                <w:p>
                  <w:pPr>
                    <w:pStyle w:val="null3"/>
                    <w:spacing w:before="120"/>
                    <w:jc w:val="center"/>
                  </w:pPr>
                  <w:r>
                    <w:rPr>
                      <w:rFonts w:ascii="仿宋_GB2312" w:hAnsi="仿宋_GB2312" w:cs="仿宋_GB2312" w:eastAsia="仿宋_GB2312"/>
                      <w:sz w:val="21"/>
                    </w:rPr>
                    <w:t>旅游电子商务实训平台</w:t>
                  </w:r>
                </w:p>
              </w:tc>
              <w:tc>
                <w:tcPr>
                  <w:tcW w:type="dxa" w:w="1868"/>
                  <w:tcBorders>
                    <w:top w:val="none" w:color="000000" w:sz="4"/>
                    <w:left w:val="none" w:color="000000" w:sz="4"/>
                    <w:bottom w:val="single" w:color="000000" w:sz="4"/>
                    <w:right w:val="single" w:color="000000" w:sz="4"/>
                  </w:tcBorders>
                  <w:tcMar>
                    <w:top w:type="dxa" w:w="0"/>
                    <w:left w:type="dxa" w:w="30"/>
                    <w:bottom w:type="dxa" w:w="0"/>
                    <w:right w:type="dxa" w:w="30"/>
                  </w:tcMar>
                </w:tcPr>
                <w:p>
                  <w:pPr>
                    <w:pStyle w:val="null3"/>
                    <w:jc w:val="both"/>
                  </w:pPr>
                  <w:r>
                    <w:rPr>
                      <w:rFonts w:ascii="仿宋_GB2312" w:hAnsi="仿宋_GB2312" w:cs="仿宋_GB2312" w:eastAsia="仿宋_GB2312"/>
                      <w:sz w:val="21"/>
                    </w:rPr>
                    <w:t>一、技术环境要求</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要求系统采用Web B/S结构，支持加载动态权限菜单，按钮级别权限控制，Redis 缓存提升性能；；</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要求采用模块化架构，具备可维护性；</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具备起动速度快、支持局部刷新、交互数据少、操作流畅；</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移动端支持微信小程序适配运行。</w:t>
                  </w:r>
                </w:p>
                <w:p>
                  <w:pPr>
                    <w:pStyle w:val="null3"/>
                    <w:jc w:val="both"/>
                  </w:pPr>
                  <w:r>
                    <w:rPr>
                      <w:rFonts w:ascii="仿宋_GB2312" w:hAnsi="仿宋_GB2312" w:cs="仿宋_GB2312" w:eastAsia="仿宋_GB2312"/>
                      <w:sz w:val="21"/>
                    </w:rPr>
                    <w:t>二、主要功能要求</w:t>
                  </w:r>
                </w:p>
                <w:p>
                  <w:pPr>
                    <w:pStyle w:val="null3"/>
                    <w:jc w:val="both"/>
                  </w:pPr>
                  <w:r>
                    <w:rPr>
                      <w:rFonts w:ascii="仿宋_GB2312" w:hAnsi="仿宋_GB2312" w:cs="仿宋_GB2312" w:eastAsia="仿宋_GB2312"/>
                      <w:sz w:val="21"/>
                    </w:rPr>
                    <w:t>要求采用先进的计算机网络及通信技术，搭建旅游电子商务的基础运行环境，支持专业师生开展综合旅游企业的内部和外部的资源，扩大旅游信息的传播和推广，最终实现旅游产品的在线发布和销售，落地执行等全业务流程的实战模拟教学。让学生全流程，多维护的了解并掌握旅游电子商务的运行模式和机制，能够独立搭建旅游电子商务运行管理平台（含移动端），并按照业务需求开展线上电商活动，可支持除旅游线路，景区门票、酒店客房、文创产品等多种旅游产品的在线电商运营管理。平台核心功能要求如下：</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产品中心：支持用户按照任务要求自主创建建设类型，产品内容，同时要求平台自带基础产品库，包括知名景区门票，酒店产品，旅游线路，文创产品，每类产品必须提供简介以及项目报价等；</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采供中心：主要支持开展业务采购合同、订单、经销合同和订单、以及同行分销合同的多维度的采购管理；</w:t>
                  </w:r>
                  <w:r>
                    <w:rPr>
                      <w:rFonts w:ascii="仿宋_GB2312" w:hAnsi="仿宋_GB2312" w:cs="仿宋_GB2312" w:eastAsia="仿宋_GB2312"/>
                      <w:sz w:val="21"/>
                    </w:rPr>
                    <w:t>（提供投标人盖章的软件功能截图证明）</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销售中心：主要开展旅游电商销售活动的开展，必须满足对客户、商机、销售合同和订单、经销合同和订单的多维度的销售管理；</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订单管理：平台按照实训操作自动生成订单列表，支持开展订单处理：下单-处理订单-订单确认-出行-订单完成—订单评价-订单售后；不同状态订单流转（包含待付款、已付款、已确认、已完成、已取消）支持不同状态订单分步流转操作；</w:t>
                  </w:r>
                </w:p>
                <w:p>
                  <w:pPr>
                    <w:pStyle w:val="null3"/>
                    <w:jc w:val="both"/>
                  </w:pPr>
                  <w:r>
                    <w:rPr>
                      <w:rFonts w:ascii="仿宋_GB2312" w:hAnsi="仿宋_GB2312" w:cs="仿宋_GB2312" w:eastAsia="仿宋_GB2312"/>
                      <w:sz w:val="21"/>
                    </w:rPr>
                    <w:t>5.</w:t>
                  </w:r>
                  <w:r>
                    <w:rPr>
                      <w:rFonts w:ascii="仿宋_GB2312" w:hAnsi="仿宋_GB2312" w:cs="仿宋_GB2312" w:eastAsia="仿宋_GB2312"/>
                      <w:sz w:val="21"/>
                    </w:rPr>
                    <w:t>在线商城：支持学生按照任务要求搭建自己的旅游在线商城，包括对商城的装修，以及商城内容商品的管理维护，同时支持优惠券、拼团、秒杀等常见的旅游营销活动开展，分销的用户、佣金和佣金提现等，支持商城订单及客服信息的管理功能；</w:t>
                  </w:r>
                </w:p>
                <w:p>
                  <w:pPr>
                    <w:pStyle w:val="null3"/>
                    <w:jc w:val="both"/>
                  </w:pPr>
                  <w:r>
                    <w:rPr>
                      <w:rFonts w:ascii="仿宋_GB2312" w:hAnsi="仿宋_GB2312" w:cs="仿宋_GB2312" w:eastAsia="仿宋_GB2312"/>
                      <w:sz w:val="21"/>
                    </w:rPr>
                    <w:t>6.</w:t>
                  </w:r>
                  <w:r>
                    <w:rPr>
                      <w:rFonts w:ascii="仿宋_GB2312" w:hAnsi="仿宋_GB2312" w:cs="仿宋_GB2312" w:eastAsia="仿宋_GB2312"/>
                      <w:sz w:val="21"/>
                    </w:rPr>
                    <w:t>积分商城：平台自带生成积分策略；会员拥有一定积分后，可使用积分兑换产品、优惠券；系统可赠送积分；可对积分订单进行单独处理；</w:t>
                  </w:r>
                </w:p>
                <w:p>
                  <w:pPr>
                    <w:pStyle w:val="null3"/>
                    <w:jc w:val="both"/>
                  </w:pPr>
                  <w:r>
                    <w:rPr>
                      <w:rFonts w:ascii="仿宋_GB2312" w:hAnsi="仿宋_GB2312" w:cs="仿宋_GB2312" w:eastAsia="仿宋_GB2312"/>
                      <w:sz w:val="21"/>
                    </w:rPr>
                    <w:t>7.</w:t>
                  </w:r>
                  <w:r>
                    <w:rPr>
                      <w:rFonts w:ascii="仿宋_GB2312" w:hAnsi="仿宋_GB2312" w:cs="仿宋_GB2312" w:eastAsia="仿宋_GB2312"/>
                      <w:sz w:val="21"/>
                    </w:rPr>
                    <w:t>财务中心：该模块支持开展订单结算、订单回款、采购出款以及商城的支付、退款和转账订单多项电商财务功能。</w:t>
                  </w:r>
                </w:p>
                <w:p>
                  <w:pPr>
                    <w:pStyle w:val="null3"/>
                    <w:jc w:val="both"/>
                  </w:pPr>
                  <w:r>
                    <w:rPr>
                      <w:rFonts w:ascii="仿宋_GB2312" w:hAnsi="仿宋_GB2312" w:cs="仿宋_GB2312" w:eastAsia="仿宋_GB2312"/>
                      <w:sz w:val="21"/>
                    </w:rPr>
                    <w:t>8.</w:t>
                  </w:r>
                  <w:r>
                    <w:rPr>
                      <w:rFonts w:ascii="仿宋_GB2312" w:hAnsi="仿宋_GB2312" w:cs="仿宋_GB2312" w:eastAsia="仿宋_GB2312"/>
                      <w:sz w:val="21"/>
                    </w:rPr>
                    <w:t>人员管理：平台必须提供管理员，教师和学生用户，满足教师实际教学需求。学生支持分组，即满足分组实训教学需求；</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9.</w:t>
                  </w:r>
                  <w:r>
                    <w:rPr>
                      <w:rFonts w:ascii="仿宋_GB2312" w:hAnsi="仿宋_GB2312" w:cs="仿宋_GB2312" w:eastAsia="仿宋_GB2312"/>
                      <w:sz w:val="21"/>
                    </w:rPr>
                    <w:t>公众号管理：平台支持按照实际需要支持学生开通商城公众号。实现对线上旅游商城公众号的账户、用户、菜单、公众号内容的编辑及发表，公众号发送消息的管理；</w:t>
                  </w:r>
                  <w:r>
                    <w:rPr>
                      <w:rFonts w:ascii="仿宋_GB2312" w:hAnsi="仿宋_GB2312" w:cs="仿宋_GB2312" w:eastAsia="仿宋_GB2312"/>
                      <w:sz w:val="21"/>
                    </w:rPr>
                    <w:t>（提供投标人盖章的软件功能截图证明）</w:t>
                  </w:r>
                </w:p>
                <w:p>
                  <w:pPr>
                    <w:pStyle w:val="null3"/>
                    <w:jc w:val="both"/>
                  </w:pPr>
                  <w:r>
                    <w:rPr>
                      <w:rFonts w:ascii="仿宋_GB2312" w:hAnsi="仿宋_GB2312" w:cs="仿宋_GB2312" w:eastAsia="仿宋_GB2312"/>
                      <w:sz w:val="21"/>
                    </w:rPr>
                    <w:t>10.</w:t>
                  </w:r>
                  <w:r>
                    <w:rPr>
                      <w:rFonts w:ascii="仿宋_GB2312" w:hAnsi="仿宋_GB2312" w:cs="仿宋_GB2312" w:eastAsia="仿宋_GB2312"/>
                      <w:sz w:val="21"/>
                    </w:rPr>
                    <w:t>信息中心：平台支持通过设置短信、邮件和站内信的模版，轻松实现消息的发送，及发送记录痕迹的管理。同时，也包含了平台的通知公告的管理功能。</w:t>
                  </w:r>
                </w:p>
                <w:p>
                  <w:pPr>
                    <w:pStyle w:val="null3"/>
                    <w:jc w:val="both"/>
                  </w:pPr>
                  <w:r>
                    <w:rPr>
                      <w:rFonts w:ascii="仿宋_GB2312" w:hAnsi="仿宋_GB2312" w:cs="仿宋_GB2312" w:eastAsia="仿宋_GB2312"/>
                      <w:sz w:val="21"/>
                    </w:rPr>
                    <w:t>11.</w:t>
                  </w:r>
                  <w:r>
                    <w:rPr>
                      <w:rFonts w:ascii="仿宋_GB2312" w:hAnsi="仿宋_GB2312" w:cs="仿宋_GB2312" w:eastAsia="仿宋_GB2312"/>
                      <w:sz w:val="21"/>
                    </w:rPr>
                    <w:t>统计分析：平台从在线商城的会员、商品以及交易等多位度统计，也包含销售客户的分析及客户画像的分析，更具针对性性。从合同和人员角度结合合同金额、回款金额等多个维度展示业绩信息，并提供了从客户以和动态视角分析商机转化率。客户画像通过城市分布、客户级别、渠道来源以及客户行业等维度进行分析；</w:t>
                  </w:r>
                </w:p>
                <w:p>
                  <w:pPr>
                    <w:pStyle w:val="null3"/>
                    <w:jc w:val="both"/>
                  </w:pPr>
                  <w:r>
                    <w:rPr>
                      <w:rFonts w:ascii="仿宋_GB2312" w:hAnsi="仿宋_GB2312" w:cs="仿宋_GB2312" w:eastAsia="仿宋_GB2312"/>
                      <w:sz w:val="21"/>
                    </w:rPr>
                    <w:t>12.</w:t>
                  </w:r>
                  <w:r>
                    <w:rPr>
                      <w:rFonts w:ascii="仿宋_GB2312" w:hAnsi="仿宋_GB2312" w:cs="仿宋_GB2312" w:eastAsia="仿宋_GB2312"/>
                      <w:sz w:val="21"/>
                    </w:rPr>
                    <w:t>数据中心：通过设置数据访问的加密机制，实现对获取系统数据的第三方接口的安全性的管理，并保留访问历史记录。</w:t>
                  </w:r>
                </w:p>
                <w:p>
                  <w:pPr>
                    <w:pStyle w:val="null3"/>
                    <w:jc w:val="both"/>
                  </w:pPr>
                  <w:r>
                    <w:rPr>
                      <w:rFonts w:ascii="仿宋_GB2312" w:hAnsi="仿宋_GB2312" w:cs="仿宋_GB2312" w:eastAsia="仿宋_GB2312"/>
                      <w:sz w:val="21"/>
                    </w:rPr>
                    <w:t>13.</w:t>
                  </w:r>
                  <w:r>
                    <w:rPr>
                      <w:rFonts w:ascii="仿宋_GB2312" w:hAnsi="仿宋_GB2312" w:cs="仿宋_GB2312" w:eastAsia="仿宋_GB2312"/>
                      <w:sz w:val="21"/>
                    </w:rPr>
                    <w:t>实训日志：平台通过自动跟踪管理学生实训操作，生成实训日志，支持教师随时查看了解掌握学生的实训情况；</w:t>
                  </w:r>
                </w:p>
                <w:p>
                  <w:pPr>
                    <w:pStyle w:val="null3"/>
                    <w:jc w:val="left"/>
                  </w:pPr>
                  <w:r>
                    <w:rPr>
                      <w:rFonts w:ascii="仿宋_GB2312" w:hAnsi="仿宋_GB2312" w:cs="仿宋_GB2312" w:eastAsia="仿宋_GB2312"/>
                      <w:sz w:val="21"/>
                    </w:rPr>
                    <w:t>14.</w:t>
                  </w:r>
                  <w:r>
                    <w:rPr>
                      <w:rFonts w:ascii="仿宋_GB2312" w:hAnsi="仿宋_GB2312" w:cs="仿宋_GB2312" w:eastAsia="仿宋_GB2312"/>
                      <w:sz w:val="21"/>
                    </w:rPr>
                    <w:t>成绩中心：平台能够按照学生的实训操作情况，生成系统成绩，同时支持教师按照学生实实训报告和实训课堂表现进行主管考核打分，最终由平台按照一定比例进行成绩统计，生成成绩单，支持成绩单的在线预览和导出下载。</w:t>
                  </w:r>
                </w:p>
              </w:tc>
              <w:tc>
                <w:tcPr>
                  <w:tcW w:type="dxa" w:w="239"/>
                  <w:tcBorders>
                    <w:top w:val="none" w:color="000000" w:sz="4"/>
                    <w:left w:val="none" w:color="000000" w:sz="4"/>
                    <w:bottom w:val="single" w:color="000000" w:sz="4"/>
                    <w:right w:val="single" w:color="000000" w:sz="4"/>
                  </w:tcBorders>
                  <w:tcMar>
                    <w:top w:type="dxa" w:w="0"/>
                    <w:left w:type="dxa" w:w="30"/>
                    <w:bottom w:type="dxa" w:w="0"/>
                    <w:right w:type="dxa" w:w="30"/>
                  </w:tcMar>
                </w:tcPr>
                <w:p>
                  <w:pPr>
                    <w:pStyle w:val="null3"/>
                    <w:spacing w:before="120"/>
                    <w:jc w:val="center"/>
                  </w:pPr>
                  <w:r>
                    <w:rPr>
                      <w:rFonts w:ascii="仿宋_GB2312" w:hAnsi="仿宋_GB2312" w:cs="仿宋_GB2312" w:eastAsia="仿宋_GB2312"/>
                      <w:sz w:val="21"/>
                    </w:rPr>
                    <w:t>1</w:t>
                  </w:r>
                  <w:r>
                    <w:rPr>
                      <w:rFonts w:ascii="仿宋_GB2312" w:hAnsi="仿宋_GB2312" w:cs="仿宋_GB2312" w:eastAsia="仿宋_GB2312"/>
                      <w:sz w:val="21"/>
                    </w:rPr>
                    <w:t>套</w:t>
                  </w:r>
                </w:p>
              </w:tc>
            </w:tr>
            <w:tr>
              <w:tc>
                <w:tcPr>
                  <w:tcW w:type="dxa" w:w="174"/>
                  <w:tcBorders>
                    <w:top w:val="none" w:color="000000" w:sz="4"/>
                    <w:left w:val="single" w:color="000000" w:sz="4"/>
                    <w:bottom w:val="single" w:color="000000" w:sz="4"/>
                    <w:right w:val="none" w:color="000000" w:sz="4"/>
                  </w:tcBorders>
                  <w:tcMar>
                    <w:top w:type="dxa" w:w="0"/>
                    <w:left w:type="dxa" w:w="30"/>
                    <w:bottom w:type="dxa" w:w="0"/>
                    <w:right w:type="dxa" w:w="30"/>
                  </w:tcMar>
                </w:tcPr>
                <w:p>
                  <w:pPr>
                    <w:pStyle w:val="null3"/>
                    <w:numPr>
                      <w:ilvl w:val="0"/>
                      <w:numId w:val="1"/>
                    </w:numPr>
                    <w:jc w:val="both"/>
                  </w:pPr>
                </w:p>
              </w:tc>
              <w:tc>
                <w:tcPr>
                  <w:tcW w:type="dxa" w:w="267"/>
                  <w:tcBorders>
                    <w:top w:val="none" w:color="000000" w:sz="4"/>
                    <w:left w:val="single" w:color="000000" w:sz="4"/>
                    <w:bottom w:val="single" w:color="000000" w:sz="4"/>
                    <w:right w:val="single" w:color="000000" w:sz="4"/>
                  </w:tcBorders>
                  <w:tcMar>
                    <w:top w:type="dxa" w:w="0"/>
                    <w:left w:type="dxa" w:w="30"/>
                    <w:bottom w:type="dxa" w:w="0"/>
                    <w:right w:type="dxa" w:w="30"/>
                  </w:tcMar>
                </w:tcPr>
                <w:p>
                  <w:pPr>
                    <w:pStyle w:val="null3"/>
                    <w:spacing w:before="120"/>
                    <w:jc w:val="center"/>
                  </w:pPr>
                  <w:r>
                    <w:rPr>
                      <w:rFonts w:ascii="仿宋_GB2312" w:hAnsi="仿宋_GB2312" w:cs="仿宋_GB2312" w:eastAsia="仿宋_GB2312"/>
                      <w:sz w:val="21"/>
                    </w:rPr>
                    <w:t>培训椅</w:t>
                  </w:r>
                </w:p>
              </w:tc>
              <w:tc>
                <w:tcPr>
                  <w:tcW w:type="dxa" w:w="1868"/>
                  <w:tcBorders>
                    <w:top w:val="none" w:color="000000" w:sz="4"/>
                    <w:left w:val="none" w:color="000000" w:sz="4"/>
                    <w:bottom w:val="single" w:color="000000" w:sz="4"/>
                    <w:right w:val="single" w:color="000000" w:sz="4"/>
                  </w:tcBorders>
                  <w:tcMar>
                    <w:top w:type="dxa" w:w="0"/>
                    <w:left w:type="dxa" w:w="30"/>
                    <w:bottom w:type="dxa" w:w="0"/>
                    <w:right w:type="dxa" w:w="30"/>
                  </w:tcMar>
                </w:tcPr>
                <w:p>
                  <w:pPr>
                    <w:pStyle w:val="null3"/>
                    <w:jc w:val="left"/>
                  </w:pPr>
                  <w:r>
                    <w:rPr>
                      <w:rFonts w:ascii="仿宋_GB2312" w:hAnsi="仿宋_GB2312" w:cs="仿宋_GB2312" w:eastAsia="仿宋_GB2312"/>
                      <w:sz w:val="21"/>
                    </w:rPr>
                    <w:t>符合人体工学</w:t>
                  </w:r>
                </w:p>
                <w:p>
                  <w:pPr>
                    <w:pStyle w:val="null3"/>
                    <w:jc w:val="left"/>
                  </w:pPr>
                  <w:r>
                    <w:rPr>
                      <w:rFonts w:ascii="仿宋_GB2312" w:hAnsi="仿宋_GB2312" w:cs="仿宋_GB2312" w:eastAsia="仿宋_GB2312"/>
                      <w:sz w:val="21"/>
                    </w:rPr>
                    <w:t>加厚坐垫</w:t>
                  </w:r>
                </w:p>
                <w:p>
                  <w:pPr>
                    <w:pStyle w:val="null3"/>
                    <w:jc w:val="left"/>
                  </w:pPr>
                  <w:r>
                    <w:rPr>
                      <w:rFonts w:ascii="仿宋_GB2312" w:hAnsi="仿宋_GB2312" w:cs="仿宋_GB2312" w:eastAsia="仿宋_GB2312"/>
                      <w:sz w:val="21"/>
                    </w:rPr>
                    <w:t>材质：全新工程pp料，弹力网布舒适透气</w:t>
                  </w:r>
                </w:p>
                <w:p>
                  <w:pPr>
                    <w:pStyle w:val="null3"/>
                    <w:jc w:val="left"/>
                  </w:pPr>
                  <w:r>
                    <w:rPr>
                      <w:rFonts w:ascii="仿宋_GB2312" w:hAnsi="仿宋_GB2312" w:cs="仿宋_GB2312" w:eastAsia="仿宋_GB2312"/>
                      <w:sz w:val="21"/>
                    </w:rPr>
                    <w:t>可收放写字板</w:t>
                  </w:r>
                </w:p>
              </w:tc>
              <w:tc>
                <w:tcPr>
                  <w:tcW w:type="dxa" w:w="239"/>
                  <w:tcBorders>
                    <w:top w:val="none" w:color="000000" w:sz="4"/>
                    <w:left w:val="none" w:color="000000" w:sz="4"/>
                    <w:bottom w:val="single" w:color="000000" w:sz="4"/>
                    <w:right w:val="single" w:color="000000" w:sz="4"/>
                  </w:tcBorders>
                  <w:tcMar>
                    <w:top w:type="dxa" w:w="0"/>
                    <w:left w:type="dxa" w:w="30"/>
                    <w:bottom w:type="dxa" w:w="0"/>
                    <w:right w:type="dxa" w:w="30"/>
                  </w:tcMar>
                </w:tcPr>
                <w:p>
                  <w:pPr>
                    <w:pStyle w:val="null3"/>
                    <w:spacing w:before="120"/>
                    <w:jc w:val="center"/>
                  </w:pPr>
                  <w:r>
                    <w:rPr>
                      <w:rFonts w:ascii="仿宋_GB2312" w:hAnsi="仿宋_GB2312" w:cs="仿宋_GB2312" w:eastAsia="仿宋_GB2312"/>
                      <w:sz w:val="21"/>
                    </w:rPr>
                    <w:t>50</w:t>
                  </w:r>
                  <w:r>
                    <w:rPr>
                      <w:rFonts w:ascii="仿宋_GB2312" w:hAnsi="仿宋_GB2312" w:cs="仿宋_GB2312" w:eastAsia="仿宋_GB2312"/>
                      <w:sz w:val="21"/>
                    </w:rPr>
                    <w:t>把</w:t>
                  </w:r>
                </w:p>
              </w:tc>
            </w:tr>
            <w:tr>
              <w:tc>
                <w:tcPr>
                  <w:tcW w:type="dxa" w:w="174"/>
                  <w:tcBorders>
                    <w:top w:val="none" w:color="000000" w:sz="4"/>
                    <w:left w:val="single" w:color="000000" w:sz="4"/>
                    <w:bottom w:val="single" w:color="000000" w:sz="4"/>
                    <w:right w:val="none" w:color="000000" w:sz="4"/>
                  </w:tcBorders>
                  <w:tcMar>
                    <w:top w:type="dxa" w:w="0"/>
                    <w:left w:type="dxa" w:w="30"/>
                    <w:bottom w:type="dxa" w:w="0"/>
                    <w:right w:type="dxa" w:w="30"/>
                  </w:tcMar>
                </w:tcPr>
                <w:p>
                  <w:pPr>
                    <w:pStyle w:val="null3"/>
                    <w:numPr>
                      <w:ilvl w:val="0"/>
                      <w:numId w:val="1"/>
                    </w:numPr>
                    <w:jc w:val="both"/>
                  </w:pPr>
                </w:p>
              </w:tc>
              <w:tc>
                <w:tcPr>
                  <w:tcW w:type="dxa" w:w="267"/>
                  <w:tcBorders>
                    <w:top w:val="none" w:color="000000" w:sz="4"/>
                    <w:left w:val="single" w:color="000000" w:sz="4"/>
                    <w:bottom w:val="single" w:color="000000" w:sz="4"/>
                    <w:right w:val="single" w:color="000000" w:sz="4"/>
                  </w:tcBorders>
                  <w:tcMar>
                    <w:top w:type="dxa" w:w="0"/>
                    <w:left w:type="dxa" w:w="30"/>
                    <w:bottom w:type="dxa" w:w="0"/>
                    <w:right w:type="dxa" w:w="30"/>
                  </w:tcMar>
                </w:tcPr>
                <w:p>
                  <w:pPr>
                    <w:pStyle w:val="null3"/>
                    <w:spacing w:before="120"/>
                    <w:jc w:val="center"/>
                  </w:pPr>
                  <w:r>
                    <w:rPr>
                      <w:rFonts w:ascii="仿宋_GB2312" w:hAnsi="仿宋_GB2312" w:cs="仿宋_GB2312" w:eastAsia="仿宋_GB2312"/>
                      <w:sz w:val="21"/>
                    </w:rPr>
                    <w:t>实训工作台</w:t>
                  </w:r>
                </w:p>
              </w:tc>
              <w:tc>
                <w:tcPr>
                  <w:tcW w:type="dxa" w:w="1868"/>
                  <w:tcBorders>
                    <w:top w:val="none" w:color="000000" w:sz="4"/>
                    <w:left w:val="none" w:color="000000" w:sz="4"/>
                    <w:bottom w:val="single" w:color="000000" w:sz="4"/>
                    <w:right w:val="single" w:color="000000" w:sz="4"/>
                  </w:tcBorders>
                  <w:tcMar>
                    <w:top w:type="dxa" w:w="0"/>
                    <w:left w:type="dxa" w:w="30"/>
                    <w:bottom w:type="dxa" w:w="0"/>
                    <w:right w:type="dxa" w:w="30"/>
                  </w:tcMar>
                </w:tcPr>
                <w:p>
                  <w:pPr>
                    <w:pStyle w:val="null3"/>
                    <w:jc w:val="left"/>
                  </w:pPr>
                  <w:r>
                    <w:rPr>
                      <w:rFonts w:ascii="仿宋_GB2312" w:hAnsi="仿宋_GB2312" w:cs="仿宋_GB2312" w:eastAsia="仿宋_GB2312"/>
                      <w:sz w:val="21"/>
                    </w:rPr>
                    <w:t>桌面长宽高：</w:t>
                  </w:r>
                  <w:r>
                    <w:rPr>
                      <w:rFonts w:ascii="仿宋_GB2312" w:hAnsi="仿宋_GB2312" w:cs="仿宋_GB2312" w:eastAsia="仿宋_GB2312"/>
                      <w:sz w:val="21"/>
                    </w:rPr>
                    <w:t>≥</w:t>
                  </w:r>
                  <w:r>
                    <w:rPr>
                      <w:rFonts w:ascii="仿宋_GB2312" w:hAnsi="仿宋_GB2312" w:cs="仿宋_GB2312" w:eastAsia="仿宋_GB2312"/>
                      <w:sz w:val="21"/>
                    </w:rPr>
                    <w:t>1200mm *600 mm*750mm</w:t>
                  </w:r>
                  <w:r>
                    <w:rPr>
                      <w:rFonts w:ascii="仿宋_GB2312" w:hAnsi="仿宋_GB2312" w:cs="仿宋_GB2312" w:eastAsia="仿宋_GB2312"/>
                      <w:sz w:val="21"/>
                    </w:rPr>
                    <w:t>，下方为储物柜，支持定制。</w:t>
                  </w:r>
                </w:p>
              </w:tc>
              <w:tc>
                <w:tcPr>
                  <w:tcW w:type="dxa" w:w="239"/>
                  <w:tcBorders>
                    <w:top w:val="none" w:color="000000" w:sz="4"/>
                    <w:left w:val="none" w:color="000000" w:sz="4"/>
                    <w:bottom w:val="single" w:color="000000" w:sz="4"/>
                    <w:right w:val="single" w:color="000000" w:sz="4"/>
                  </w:tcBorders>
                  <w:tcMar>
                    <w:top w:type="dxa" w:w="0"/>
                    <w:left w:type="dxa" w:w="30"/>
                    <w:bottom w:type="dxa" w:w="0"/>
                    <w:right w:type="dxa" w:w="30"/>
                  </w:tcMar>
                </w:tcPr>
                <w:p>
                  <w:pPr>
                    <w:pStyle w:val="null3"/>
                    <w:spacing w:before="120"/>
                    <w:jc w:val="center"/>
                  </w:pPr>
                  <w:r>
                    <w:rPr>
                      <w:rFonts w:ascii="仿宋_GB2312" w:hAnsi="仿宋_GB2312" w:cs="仿宋_GB2312" w:eastAsia="仿宋_GB2312"/>
                      <w:sz w:val="21"/>
                    </w:rPr>
                    <w:t>3</w:t>
                  </w:r>
                  <w:r>
                    <w:rPr>
                      <w:rFonts w:ascii="仿宋_GB2312" w:hAnsi="仿宋_GB2312" w:cs="仿宋_GB2312" w:eastAsia="仿宋_GB2312"/>
                      <w:sz w:val="21"/>
                    </w:rPr>
                    <w:t>张</w:t>
                  </w:r>
                </w:p>
              </w:tc>
            </w:tr>
          </w:tbl>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30天</w:t>
      </w:r>
    </w:p>
    <w:p>
      <w:pPr>
        <w:pStyle w:val="null3"/>
        <w:outlineLvl w:val="3"/>
      </w:pPr>
      <w:r>
        <w:rPr>
          <w:rFonts w:ascii="仿宋_GB2312" w:hAnsi="仿宋_GB2312" w:cs="仿宋_GB2312" w:eastAsia="仿宋_GB2312"/>
          <w:sz w:val="24"/>
          <w:b/>
        </w:rPr>
        <w:t>3.4.2交货地点和方式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西安文理学院指定地点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待货物全部交付采购人并经采购人验收合格后</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按照相关规定执行</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质保期：硬件1年，软件3年。</w:t>
      </w:r>
    </w:p>
    <w:p>
      <w:pPr>
        <w:pStyle w:val="null3"/>
        <w:outlineLvl w:val="3"/>
      </w:pPr>
      <w:r>
        <w:rPr>
          <w:rFonts w:ascii="仿宋_GB2312" w:hAnsi="仿宋_GB2312" w:cs="仿宋_GB2312" w:eastAsia="仿宋_GB2312"/>
          <w:sz w:val="24"/>
          <w:b/>
        </w:rPr>
        <w:t>3.4.8违约责任及解决争议的方法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按照相关规定执行</w:t>
      </w:r>
    </w:p>
    <w:p>
      <w:pPr>
        <w:pStyle w:val="null3"/>
        <w:jc w:val="left"/>
        <w:outlineLvl w:val="3"/>
      </w:pPr>
      <w:r>
        <w:rPr>
          <w:rFonts w:ascii="仿宋_GB2312" w:hAnsi="仿宋_GB2312" w:cs="仿宋_GB2312" w:eastAsia="仿宋_GB2312"/>
          <w:sz w:val="24"/>
          <w:b/>
        </w:rPr>
        <w:t>3.5其他要求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1.成交供应商在中标（成交）结果公告结束后3个工作日内向采购代理机构提供纸质版响应文件正本一份，副本二份，电子U盘一份（响应文件内容与电子版一致）。 2.本项目核心产品为“ AI旅游数字人训练一体机 ”。3.本项目参数中带“★”项的参数需求不可以负偏离。</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资格审查由采购人或代理机构组建的资格审查小组依据法律法规和谈判文件的规定，对响应文件中的资格证明等进行审查，以确定投标人是否具备投标资格，并出具资格审查报告。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1.具有独立承担民事责任能力的法人、其他组织或自然人，并出具合法有效的营业执照或事业单位法人证书等国家规定的相关证明，自然人参与的提供其身份证明。 2.供应商提供2025年1月至今已缴纳的至少一个月的纳税证明或完税证明（除印花税以外的任意税种），纳税证明或完税证明上应有代收机构或税务机关的公章或业务专用章，依法免税的单位应提供相关证明材料。 3.供应商提供2025年1月至今已缴存的至少一个月的社会保障资金缴存单据或社保机构开具的社会保险参保缴费情况证明，单据或证明上应有社保机构或代收机构的公章或业务专用章，依法不需要缴纳社会保障资金的单位应提供相关证明材料。 4.提供具有履行合同所必需的设备和专业技术能力的承诺声明。 5.提供参加政府采购活动前3年内，在经营活动中没有重大违法记录的书面声明。供应商需在项目电子化交易系统中按要求上传相应证明文件并进行电子签章。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供应商资格证明文件.docx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具有财务审计资质单位出具的完整的2023年度或者2024年度赋码的财务审计报告（成立时间至响应文件递交截止时间不足一年的可提供成立后任意时段的资产负债表）或响应文件递交截止时间前六个月内的资信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供应商资格证明文件.docx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不得为“信用中国”网站(www.creditchina.gov.cn)中列入失信被执行人和重大税收违法失信主体，不得为中国政府采购网(www.ccsp.gov.cn)政府采购严重违法失信行为记录名单中被财政部门禁止参加政府采购活动的单位。</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法定代表人或其授权委托书</w:t>
            </w:r>
          </w:p>
        </w:tc>
        <w:tc>
          <w:tcPr>
            <w:tcW w:type="dxa" w:w="3322"/>
          </w:tcPr>
          <w:p>
            <w:pPr>
              <w:pStyle w:val="null3"/>
            </w:pPr>
            <w:r>
              <w:rPr>
                <w:rFonts w:ascii="仿宋_GB2312" w:hAnsi="仿宋_GB2312" w:cs="仿宋_GB2312" w:eastAsia="仿宋_GB2312"/>
              </w:rPr>
              <w:t>法定代表人直接参加竞争性谈判的，须出具法定代表人身份证明书；法定代表人授权代表参加竞争性谈判的，须出具法定代表人授权委托书。</w:t>
            </w:r>
          </w:p>
        </w:tc>
        <w:tc>
          <w:tcPr>
            <w:tcW w:type="dxa" w:w="1661"/>
          </w:tcPr>
          <w:p>
            <w:pPr>
              <w:pStyle w:val="null3"/>
            </w:pPr>
            <w:r>
              <w:rPr>
                <w:rFonts w:ascii="仿宋_GB2312" w:hAnsi="仿宋_GB2312" w:cs="仿宋_GB2312" w:eastAsia="仿宋_GB2312"/>
              </w:rPr>
              <w:t>供应商资格证明文件.docx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谈判过程中可实质性变动的内容</w:t>
      </w:r>
    </w:p>
    <w:p>
      <w:pPr>
        <w:pStyle w:val="null3"/>
        <w:ind w:firstLine="480"/>
      </w:pPr>
      <w:r>
        <w:rPr>
          <w:rFonts w:ascii="仿宋_GB2312" w:hAnsi="仿宋_GB2312" w:cs="仿宋_GB2312" w:eastAsia="仿宋_GB2312"/>
        </w:rPr>
        <w:t xml:space="preserve"> 谈判小组可以根据谈判文件和谈判情况实质性变动第三章“谈判项目技术、服务、商务及其他要求”、第八章“拟签订采购合同文本”，但不得变动谈判文件中的其他内容。实质性变动的内容，须经采购人代表确认。</w:t>
      </w:r>
    </w:p>
    <w:p>
      <w:pPr>
        <w:pStyle w:val="null3"/>
      </w:pPr>
      <w:r>
        <w:rPr>
          <w:rFonts w:ascii="仿宋_GB2312" w:hAnsi="仿宋_GB2312" w:cs="仿宋_GB2312" w:eastAsia="仿宋_GB2312"/>
        </w:rPr>
        <w:t>在谈判过程中，谈判小组根据项目实际需要制定谈判内容，在获得采购人代表确认的前提下，可以根据谈判情况实质性变动相关内容。谈判小组对谈判文件作出的实质性变动是谈判文件的有效组成部分，谈判小组应及时通知所有参加谈判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谈判办法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一、根据《中华人民共和国政府采购法》《中华人民共和国政府采购法实施条例》《政府采购非招标采购方式管理办法》等法律制度，结合本采购项目特点制定本次竞争性谈判评审方法。</w:t>
      </w:r>
    </w:p>
    <w:p>
      <w:pPr>
        <w:pStyle w:val="null3"/>
        <w:ind w:firstLine="480"/>
      </w:pPr>
      <w:r>
        <w:rPr>
          <w:rFonts w:ascii="仿宋_GB2312" w:hAnsi="仿宋_GB2312" w:cs="仿宋_GB2312" w:eastAsia="仿宋_GB2312"/>
        </w:rPr>
        <w:t>二、评审工作由代理机构组织，具体评审事务由依法组建的谈判小组负责。</w:t>
      </w:r>
    </w:p>
    <w:p>
      <w:pPr>
        <w:pStyle w:val="null3"/>
        <w:ind w:firstLine="480"/>
      </w:pPr>
      <w:r>
        <w:rPr>
          <w:rFonts w:ascii="仿宋_GB2312" w:hAnsi="仿宋_GB2312" w:cs="仿宋_GB2312" w:eastAsia="仿宋_GB2312"/>
        </w:rPr>
        <w:t>三、评审工作应遵循客观、公正、审慎的原则，并以相同的谈判程序和标准对待所有的供应商。</w:t>
      </w:r>
    </w:p>
    <w:p>
      <w:pPr>
        <w:pStyle w:val="null3"/>
        <w:ind w:firstLine="480"/>
      </w:pPr>
      <w:r>
        <w:rPr>
          <w:rFonts w:ascii="仿宋_GB2312" w:hAnsi="仿宋_GB2312" w:cs="仿宋_GB2312" w:eastAsia="仿宋_GB2312"/>
        </w:rPr>
        <w:t xml:space="preserve"> 四、本项目采取电子化评审，通过项目电子化交易系统完成评审工作。谈判小组成员、采购人、代理机构和供应商应当按照本谈判文件规定和项目电子化交易系统操作要求开展或者参加评审活动。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6.2谈判小组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谈判小组成员应当满足并适应电子化采购评审的工作需要，使用已身份认证并具备签章功能的证书，登录项目电子化交易系统进入项目评审功能模块确认身份、签到、推荐谈判小组组长。采购人代表可以使用采购人代表专用签章确认评审意见。</w:t>
      </w:r>
    </w:p>
    <w:p>
      <w:pPr>
        <w:pStyle w:val="null3"/>
        <w:ind w:firstLine="480"/>
      </w:pPr>
      <w:r>
        <w:rPr>
          <w:rFonts w:ascii="仿宋_GB2312" w:hAnsi="仿宋_GB2312" w:cs="仿宋_GB2312" w:eastAsia="仿宋_GB2312"/>
        </w:rPr>
        <w:t xml:space="preserve"> 二、谈判小组成员获取解密后的响应文件，开展评审活动。出现应当回避的情形时，谈判小组成员应当主动回避；代理机构按规定申请补充抽取评审专家；无法及时补充抽取的，采购人或者代理机构应当封存供应商响应文件，按规定重新组建谈判小组，解封响应文件后，开展评审活动。</w:t>
      </w:r>
    </w:p>
    <w:p>
      <w:pPr>
        <w:pStyle w:val="null3"/>
        <w:ind w:firstLine="480"/>
      </w:pPr>
      <w:r>
        <w:rPr>
          <w:rFonts w:ascii="仿宋_GB2312" w:hAnsi="仿宋_GB2312" w:cs="仿宋_GB2312" w:eastAsia="仿宋_GB2312"/>
        </w:rPr>
        <w:t>三、谈判小组按照谈判文件规定的谈判程序、评审方法和标准进行评审，并独立履行下列职责：</w:t>
      </w:r>
    </w:p>
    <w:p>
      <w:pPr>
        <w:pStyle w:val="null3"/>
        <w:ind w:firstLine="480"/>
      </w:pPr>
      <w:r>
        <w:rPr>
          <w:rFonts w:ascii="仿宋_GB2312" w:hAnsi="仿宋_GB2312" w:cs="仿宋_GB2312" w:eastAsia="仿宋_GB2312"/>
        </w:rPr>
        <w:t>（一）熟悉和理解谈判文件；</w:t>
      </w:r>
    </w:p>
    <w:p>
      <w:pPr>
        <w:pStyle w:val="null3"/>
        <w:ind w:firstLine="480"/>
      </w:pPr>
      <w:r>
        <w:rPr>
          <w:rFonts w:ascii="仿宋_GB2312" w:hAnsi="仿宋_GB2312" w:cs="仿宋_GB2312" w:eastAsia="仿宋_GB2312"/>
        </w:rPr>
        <w:t>（二）审查供应商响应文件等是否满足谈判文件要求，并作出评价；</w:t>
      </w:r>
    </w:p>
    <w:p>
      <w:pPr>
        <w:pStyle w:val="null3"/>
        <w:ind w:firstLine="480"/>
      </w:pPr>
      <w:r>
        <w:rPr>
          <w:rFonts w:ascii="仿宋_GB2312" w:hAnsi="仿宋_GB2312" w:cs="仿宋_GB2312" w:eastAsia="仿宋_GB2312"/>
        </w:rPr>
        <w:t xml:space="preserve"> （三）根据需要要求采购组织单位对谈判文件作出解释；根据需要要求供应商对响应文件有关事项作出澄清、说明或者更正；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6.3.1审查谈判文件和停止评审</w:t>
      </w:r>
    </w:p>
    <w:p>
      <w:pPr>
        <w:pStyle w:val="null3"/>
        <w:ind w:firstLine="480"/>
      </w:pPr>
      <w:r>
        <w:rPr>
          <w:rFonts w:ascii="仿宋_GB2312" w:hAnsi="仿宋_GB2312" w:cs="仿宋_GB2312" w:eastAsia="仿宋_GB2312"/>
        </w:rPr>
        <w:t xml:space="preserve"> 一、谈判小组正式评审前，应当对谈判文件进行熟悉和理解，内容主要包括谈判文件中供应商资格条件要求、采购项目技术、服务和商务要求、谈判办法和标准、政府采购政策要求以及政府采购合同主要条款等。</w:t>
      </w:r>
    </w:p>
    <w:p>
      <w:pPr>
        <w:pStyle w:val="null3"/>
        <w:ind w:firstLine="480"/>
      </w:pPr>
      <w:r>
        <w:rPr>
          <w:rFonts w:ascii="仿宋_GB2312" w:hAnsi="仿宋_GB2312" w:cs="仿宋_GB2312" w:eastAsia="仿宋_GB2312"/>
        </w:rPr>
        <w:t>二、本谈判文件有下列情形之一的，谈判小组应当停止评审：</w:t>
      </w:r>
    </w:p>
    <w:p>
      <w:pPr>
        <w:pStyle w:val="null3"/>
        <w:ind w:firstLine="480"/>
      </w:pPr>
      <w:r>
        <w:rPr>
          <w:rFonts w:ascii="仿宋_GB2312" w:hAnsi="仿宋_GB2312" w:cs="仿宋_GB2312" w:eastAsia="仿宋_GB2312"/>
        </w:rPr>
        <w:t>（一）谈判文件的规定存在歧义、重大缺陷的；</w:t>
      </w:r>
    </w:p>
    <w:p>
      <w:pPr>
        <w:pStyle w:val="null3"/>
        <w:ind w:firstLine="480"/>
      </w:pPr>
      <w:r>
        <w:rPr>
          <w:rFonts w:ascii="仿宋_GB2312" w:hAnsi="仿宋_GB2312" w:cs="仿宋_GB2312" w:eastAsia="仿宋_GB2312"/>
        </w:rPr>
        <w:t>（二）谈判文件明显以不合理条件对供应商实行差别待遇或者歧视待遇的；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（三）采购项目属于国家规定的优先、强制采购范围，但是谈判文件未依法体现优先、强制采购相关规定的；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（四）采购项目属于政府采购促进中小企业发展的范围，但是谈判文件未依法体现促进中小企业发展相关规定的；</w:t>
      </w:r>
    </w:p>
    <w:p>
      <w:pPr>
        <w:pStyle w:val="null3"/>
        <w:ind w:firstLine="480"/>
      </w:pPr>
      <w:r>
        <w:rPr>
          <w:rFonts w:ascii="仿宋_GB2312" w:hAnsi="仿宋_GB2312" w:cs="仿宋_GB2312" w:eastAsia="仿宋_GB2312"/>
        </w:rPr>
        <w:t>（五）谈判文件将供应商的资格条件列为评分因素的；</w:t>
      </w:r>
    </w:p>
    <w:p>
      <w:pPr>
        <w:pStyle w:val="null3"/>
        <w:ind w:firstLine="480"/>
      </w:pPr>
      <w:r>
        <w:rPr>
          <w:rFonts w:ascii="仿宋_GB2312" w:hAnsi="仿宋_GB2312" w:cs="仿宋_GB2312" w:eastAsia="仿宋_GB2312"/>
        </w:rPr>
        <w:t>（六）谈判文件载明的成交原则不合法的；</w:t>
      </w:r>
    </w:p>
    <w:p>
      <w:pPr>
        <w:pStyle w:val="null3"/>
        <w:ind w:firstLine="480"/>
        <w:jc w:val="left"/>
      </w:pPr>
      <w:r>
        <w:rPr>
          <w:rFonts w:ascii="仿宋_GB2312" w:hAnsi="仿宋_GB2312" w:cs="仿宋_GB2312" w:eastAsia="仿宋_GB2312"/>
        </w:rPr>
        <w:t>（七）谈判文件有违反国家其他有关强制性规定的情形。</w:t>
      </w:r>
    </w:p>
    <w:p>
      <w:pPr>
        <w:pStyle w:val="null3"/>
        <w:ind w:firstLine="480"/>
      </w:pPr>
      <w:r>
        <w:rPr>
          <w:rFonts w:ascii="仿宋_GB2312" w:hAnsi="仿宋_GB2312" w:cs="仿宋_GB2312" w:eastAsia="仿宋_GB2312"/>
        </w:rPr>
        <w:t xml:space="preserve"> 出现上述应当停止评审情形的，谈判小组应当通过项目电子化交易系统向采购人提交情况说明。除上述情形外，谈判小组不得以任何方式和理由停止评审。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谈判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一、谈判小组依据本谈判文件的实质性要求，对符合资格的响应文件进行审查，以确定其是否满足本谈判文件的实质性要求。本项目的符合性审查事项必须以本谈判文件的明确规定的实质性要求为依据。</w:t>
      </w:r>
    </w:p>
    <w:p>
      <w:pPr>
        <w:pStyle w:val="null3"/>
        <w:ind w:firstLine="480"/>
      </w:pPr>
      <w:r>
        <w:rPr>
          <w:rFonts w:ascii="仿宋_GB2312" w:hAnsi="仿宋_GB2312" w:cs="仿宋_GB2312" w:eastAsia="仿宋_GB2312"/>
        </w:rPr>
        <w:t xml:space="preserve"> 二、在符合性审查过程中，如果出现谈判小组成员意见不一致的情况，按照少数服从多数的原则确定，但不得违背政府采购基本原则和谈判文件规定。</w:t>
      </w:r>
    </w:p>
    <w:p>
      <w:pPr>
        <w:pStyle w:val="null3"/>
        <w:ind w:firstLine="480"/>
      </w:pPr>
      <w:r>
        <w:rPr>
          <w:rFonts w:ascii="仿宋_GB2312" w:hAnsi="仿宋_GB2312" w:cs="仿宋_GB2312" w:eastAsia="仿宋_GB2312"/>
        </w:rPr>
        <w:t>三、谈判小组对所有响应文件进行审查后，确定参加谈判的供应商名单。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谈判过程中，谈判小组认为供应商的报价明显低于其他通过符合性审查供应商的报价，有可能影响产品质量或者不能诚信履约的，谈判小组应当要求其在合理的时间内在项目电子化交易系统中上传说明材料，必要时提交相关证明材料。供应商提交的相关证明材料，应当加盖供应商（法定名称）电子印章，在谈判小组要求的时间内通过项目电子化交易系统进行提交，否则提交的相关证明材料无效。供应商不能证明其报价合理性的，谈判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谈判响应文件的签字盖章</w:t>
            </w:r>
          </w:p>
        </w:tc>
        <w:tc>
          <w:tcPr>
            <w:tcW w:type="dxa" w:w="3322"/>
          </w:tcPr>
          <w:p>
            <w:pPr>
              <w:pStyle w:val="null3"/>
            </w:pPr>
            <w:r>
              <w:rPr>
                <w:rFonts w:ascii="仿宋_GB2312" w:hAnsi="仿宋_GB2312" w:cs="仿宋_GB2312" w:eastAsia="仿宋_GB2312"/>
              </w:rPr>
              <w:t>响应文件的签字盖章符合谈判文件要求。</w:t>
            </w:r>
          </w:p>
        </w:tc>
        <w:tc>
          <w:tcPr>
            <w:tcW w:type="dxa" w:w="1661"/>
          </w:tcPr>
          <w:p>
            <w:pPr>
              <w:pStyle w:val="null3"/>
            </w:pPr>
            <w:r>
              <w:rPr>
                <w:rFonts w:ascii="仿宋_GB2312" w:hAnsi="仿宋_GB2312" w:cs="仿宋_GB2312" w:eastAsia="仿宋_GB2312"/>
              </w:rPr>
              <w:t>响应文件封面 产品技术参数表 中小企业声明函 残疾人福利性单位声明函 商务需求偏离表.docx 标的清单 报价表 供应商资格证明文件.docx 响应函 供应商承诺书.docx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与项目的一致性</w:t>
            </w:r>
          </w:p>
        </w:tc>
        <w:tc>
          <w:tcPr>
            <w:tcW w:type="dxa" w:w="3322"/>
          </w:tcPr>
          <w:p>
            <w:pPr>
              <w:pStyle w:val="null3"/>
            </w:pPr>
            <w:r>
              <w:rPr>
                <w:rFonts w:ascii="仿宋_GB2312" w:hAnsi="仿宋_GB2312" w:cs="仿宋_GB2312" w:eastAsia="仿宋_GB2312"/>
              </w:rPr>
              <w:t>竞争性谈判响应文件中项目名称、项目编号、合同包（若有）须与本项目竞争性谈判文件完全一致。</w:t>
            </w:r>
          </w:p>
        </w:tc>
        <w:tc>
          <w:tcPr>
            <w:tcW w:type="dxa" w:w="1661"/>
          </w:tcPr>
          <w:p>
            <w:pPr>
              <w:pStyle w:val="null3"/>
            </w:pPr>
            <w:r>
              <w:rPr>
                <w:rFonts w:ascii="仿宋_GB2312" w:hAnsi="仿宋_GB2312" w:cs="仿宋_GB2312" w:eastAsia="仿宋_GB2312"/>
              </w:rPr>
              <w:t>中小企业声明函 报价表 供应商承诺书.docx 响应文件封面 产品技术参数表 其他应说明的事项.docx 残疾人福利性单位声明函 商务需求偏离表.docx 标的清单 供应商资格证明文件.docx 响应函 服务方案.docx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响应报价</w:t>
            </w:r>
          </w:p>
        </w:tc>
        <w:tc>
          <w:tcPr>
            <w:tcW w:type="dxa" w:w="3322"/>
          </w:tcPr>
          <w:p>
            <w:pPr>
              <w:pStyle w:val="null3"/>
            </w:pPr>
            <w:r>
              <w:rPr>
                <w:rFonts w:ascii="仿宋_GB2312" w:hAnsi="仿宋_GB2312" w:cs="仿宋_GB2312" w:eastAsia="仿宋_GB2312"/>
              </w:rPr>
              <w:t>同时满足以下条款：（1）货币单位符合要求；（2）报价符合唯一性要求；（3）未超出采购预算或最高限价。</w:t>
            </w:r>
          </w:p>
        </w:tc>
        <w:tc>
          <w:tcPr>
            <w:tcW w:type="dxa" w:w="1661"/>
          </w:tcPr>
          <w:p>
            <w:pPr>
              <w:pStyle w:val="null3"/>
            </w:pPr>
            <w:r>
              <w:rPr>
                <w:rFonts w:ascii="仿宋_GB2312" w:hAnsi="仿宋_GB2312" w:cs="仿宋_GB2312" w:eastAsia="仿宋_GB2312"/>
              </w:rPr>
              <w:t>标的清单 报价表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谈判响应文件内容</w:t>
            </w:r>
          </w:p>
        </w:tc>
        <w:tc>
          <w:tcPr>
            <w:tcW w:type="dxa" w:w="3322"/>
          </w:tcPr>
          <w:p>
            <w:pPr>
              <w:pStyle w:val="null3"/>
            </w:pPr>
            <w:r>
              <w:rPr>
                <w:rFonts w:ascii="仿宋_GB2312" w:hAnsi="仿宋_GB2312" w:cs="仿宋_GB2312" w:eastAsia="仿宋_GB2312"/>
              </w:rPr>
              <w:t>谈判响应文件内容齐全、无遗漏。</w:t>
            </w:r>
          </w:p>
        </w:tc>
        <w:tc>
          <w:tcPr>
            <w:tcW w:type="dxa" w:w="1661"/>
          </w:tcPr>
          <w:p>
            <w:pPr>
              <w:pStyle w:val="null3"/>
            </w:pPr>
            <w:r>
              <w:rPr>
                <w:rFonts w:ascii="仿宋_GB2312" w:hAnsi="仿宋_GB2312" w:cs="仿宋_GB2312" w:eastAsia="仿宋_GB2312"/>
              </w:rPr>
              <w:t>中小企业声明函 报价表 供应商承诺书.docx 响应文件封面 产品技术参数表 其他应说明的事项.docx 残疾人福利性单位声明函 商务需求偏离表.docx 标的清单 供应商资格证明文件.docx 响应函 服务方案.docx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响应有效期</w:t>
            </w:r>
          </w:p>
        </w:tc>
        <w:tc>
          <w:tcPr>
            <w:tcW w:type="dxa" w:w="3322"/>
          </w:tcPr>
          <w:p>
            <w:pPr>
              <w:pStyle w:val="null3"/>
            </w:pPr>
            <w:r>
              <w:rPr>
                <w:rFonts w:ascii="仿宋_GB2312" w:hAnsi="仿宋_GB2312" w:cs="仿宋_GB2312" w:eastAsia="仿宋_GB2312"/>
              </w:rPr>
              <w:t>响应有效期满足谈判文件要求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实质性响应</w:t>
            </w:r>
          </w:p>
        </w:tc>
        <w:tc>
          <w:tcPr>
            <w:tcW w:type="dxa" w:w="3322"/>
          </w:tcPr>
          <w:p>
            <w:pPr>
              <w:pStyle w:val="null3"/>
            </w:pPr>
            <w:r>
              <w:rPr>
                <w:rFonts w:ascii="仿宋_GB2312" w:hAnsi="仿宋_GB2312" w:cs="仿宋_GB2312" w:eastAsia="仿宋_GB2312"/>
              </w:rPr>
              <w:t>技术参数中带“★”的参数需求为实质性要求，供应商必须响应并满足；未带“★”的参数需求可以负偏离。</w:t>
            </w:r>
          </w:p>
        </w:tc>
        <w:tc>
          <w:tcPr>
            <w:tcW w:type="dxa" w:w="1661"/>
          </w:tcPr>
          <w:p>
            <w:pPr>
              <w:pStyle w:val="null3"/>
            </w:pPr>
            <w:r>
              <w:rPr>
                <w:rFonts w:ascii="仿宋_GB2312" w:hAnsi="仿宋_GB2312" w:cs="仿宋_GB2312" w:eastAsia="仿宋_GB2312"/>
              </w:rPr>
              <w:t>产品技术参数表</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商务响应</w:t>
            </w:r>
          </w:p>
        </w:tc>
        <w:tc>
          <w:tcPr>
            <w:tcW w:type="dxa" w:w="3322"/>
          </w:tcPr>
          <w:p>
            <w:pPr>
              <w:pStyle w:val="null3"/>
            </w:pPr>
            <w:r>
              <w:rPr>
                <w:rFonts w:ascii="仿宋_GB2312" w:hAnsi="仿宋_GB2312" w:cs="仿宋_GB2312" w:eastAsia="仿宋_GB2312"/>
              </w:rPr>
              <w:t>须完全响应竞争性谈判文件中的商务要求，无负偏离;响应内容不得含有采购人不能接受的附加条件。</w:t>
            </w:r>
          </w:p>
        </w:tc>
        <w:tc>
          <w:tcPr>
            <w:tcW w:type="dxa" w:w="1661"/>
          </w:tcPr>
          <w:p>
            <w:pPr>
              <w:pStyle w:val="null3"/>
            </w:pPr>
            <w:r>
              <w:rPr>
                <w:rFonts w:ascii="仿宋_GB2312" w:hAnsi="仿宋_GB2312" w:cs="仿宋_GB2312" w:eastAsia="仿宋_GB2312"/>
              </w:rPr>
              <w:t>商务需求偏离表.docx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其他无效条款</w:t>
            </w:r>
          </w:p>
        </w:tc>
        <w:tc>
          <w:tcPr>
            <w:tcW w:type="dxa" w:w="3322"/>
          </w:tcPr>
          <w:p>
            <w:pPr>
              <w:pStyle w:val="null3"/>
            </w:pPr>
            <w:r>
              <w:rPr>
                <w:rFonts w:ascii="仿宋_GB2312" w:hAnsi="仿宋_GB2312" w:cs="仿宋_GB2312" w:eastAsia="仿宋_GB2312"/>
              </w:rPr>
              <w:t>没有出现法律法规或竞争性谈判文件规定的其他无效情形。</w:t>
            </w:r>
          </w:p>
        </w:tc>
        <w:tc>
          <w:tcPr>
            <w:tcW w:type="dxa" w:w="1661"/>
          </w:tcPr>
          <w:p>
            <w:pPr>
              <w:pStyle w:val="null3"/>
            </w:pPr>
            <w:r>
              <w:rPr>
                <w:rFonts w:ascii="仿宋_GB2312" w:hAnsi="仿宋_GB2312" w:cs="仿宋_GB2312" w:eastAsia="仿宋_GB2312"/>
              </w:rPr>
              <w:t>中小企业声明函 报价表 供应商承诺书.docx 响应文件封面 产品技术参数表 其他应说明的事项.docx 残疾人福利性单位声明函 商务需求偏离表.docx 标的清单 供应商资格证明文件.docx 响应函 服务方案.docx 监狱企业的证明文件</w:t>
            </w:r>
          </w:p>
        </w:tc>
      </w:tr>
    </w:tbl>
    <w:p>
      <w:pPr>
        <w:pStyle w:val="null3"/>
        <w:outlineLvl w:val="3"/>
      </w:pPr>
      <w:r>
        <w:rPr>
          <w:rFonts w:ascii="仿宋_GB2312" w:hAnsi="仿宋_GB2312" w:cs="仿宋_GB2312" w:eastAsia="仿宋_GB2312"/>
          <w:sz w:val="24"/>
          <w:b/>
        </w:rPr>
        <w:t>6.3.3谈判</w:t>
      </w:r>
    </w:p>
    <w:p>
      <w:pPr>
        <w:pStyle w:val="null3"/>
        <w:ind w:firstLine="480"/>
      </w:pPr>
      <w:r>
        <w:rPr>
          <w:rFonts w:ascii="仿宋_GB2312" w:hAnsi="仿宋_GB2312" w:cs="仿宋_GB2312" w:eastAsia="仿宋_GB2312"/>
        </w:rPr>
        <w:t>一、谈判小组按照谈判文件的规定与邀请参加谈判的供应商分别进行谈判，谈判顺序由谈判小组确定。</w:t>
      </w:r>
    </w:p>
    <w:p>
      <w:pPr>
        <w:pStyle w:val="null3"/>
        <w:ind w:firstLine="480"/>
      </w:pPr>
      <w:r>
        <w:rPr>
          <w:rFonts w:ascii="仿宋_GB2312" w:hAnsi="仿宋_GB2312" w:cs="仿宋_GB2312" w:eastAsia="仿宋_GB2312"/>
        </w:rPr>
        <w:t xml:space="preserve"> 二、谈判小组所有成员集中与单一供应商对技术、服务、合同条款等内容分别进行一轮或多轮的谈判。在谈判中，谈判的任何一方不得透露与谈判有关的其他供应商的技术资料、价格和其他信息。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三、谈判小组可以根据谈判文件和谈判情况实质性变动第三章“谈判项目技术、服务、商务及其他要求”、第六章“拟签订的合同文本”，但不得变动谈判文件中的其他内容。实质性变动的内容，须经采购人代表确认。</w:t>
      </w:r>
    </w:p>
    <w:p>
      <w:pPr>
        <w:pStyle w:val="null3"/>
        <w:ind w:firstLine="480"/>
      </w:pPr>
      <w:r>
        <w:rPr>
          <w:rFonts w:ascii="仿宋_GB2312" w:hAnsi="仿宋_GB2312" w:cs="仿宋_GB2312" w:eastAsia="仿宋_GB2312"/>
        </w:rPr>
        <w:t xml:space="preserve"> 四、对谈判文件作出的实质性变动是谈判文件的有效组成部分，谈判小组应通过“承诺”功能，将变动情况通知所有参加谈判的供应商。谈判过程中，谈判小组可以根据谈判情况调整谈判轮次。</w:t>
      </w:r>
    </w:p>
    <w:p>
      <w:pPr>
        <w:pStyle w:val="null3"/>
        <w:ind w:firstLine="480"/>
      </w:pPr>
      <w:r>
        <w:rPr>
          <w:rFonts w:ascii="仿宋_GB2312" w:hAnsi="仿宋_GB2312" w:cs="仿宋_GB2312" w:eastAsia="仿宋_GB2312"/>
        </w:rPr>
        <w:t xml:space="preserve"> 五、谈判过程中，供应商可以根据谈判情况变更其响应文件，并将变更内容以“供应商响应表”形式在线提交谈判小组。“供应商响应表”作为响应文件的一部分，应加盖供应商（法定名称）电子印章，否则无效。</w:t>
      </w:r>
    </w:p>
    <w:p>
      <w:pPr>
        <w:pStyle w:val="null3"/>
        <w:ind w:firstLine="480"/>
      </w:pPr>
      <w:r>
        <w:rPr>
          <w:rFonts w:ascii="仿宋_GB2312" w:hAnsi="仿宋_GB2312" w:cs="仿宋_GB2312" w:eastAsia="仿宋_GB2312"/>
        </w:rPr>
        <w:t>六、经最终谈判后，响应文件仍有下列情况之一的，应按照无效响应处理：</w:t>
      </w:r>
    </w:p>
    <w:p>
      <w:pPr>
        <w:pStyle w:val="null3"/>
        <w:ind w:firstLine="480"/>
      </w:pPr>
      <w:r>
        <w:rPr>
          <w:rFonts w:ascii="仿宋_GB2312" w:hAnsi="仿宋_GB2312" w:cs="仿宋_GB2312" w:eastAsia="仿宋_GB2312"/>
        </w:rPr>
        <w:t>（一）响应文件仍不能实质响应谈判文件可实质性变动的实质性要求的；</w:t>
      </w:r>
    </w:p>
    <w:p>
      <w:pPr>
        <w:pStyle w:val="null3"/>
        <w:ind w:firstLine="480"/>
      </w:pPr>
      <w:r>
        <w:rPr>
          <w:rFonts w:ascii="仿宋_GB2312" w:hAnsi="仿宋_GB2312" w:cs="仿宋_GB2312" w:eastAsia="仿宋_GB2312"/>
        </w:rPr>
        <w:t>（二）响应文件中仍有谈判文件规定的其他无效响应情形的。</w:t>
      </w:r>
    </w:p>
    <w:p>
      <w:pPr>
        <w:pStyle w:val="null3"/>
        <w:ind w:firstLine="480"/>
      </w:pPr>
      <w:r>
        <w:rPr>
          <w:rFonts w:ascii="仿宋_GB2312" w:hAnsi="仿宋_GB2312" w:cs="仿宋_GB2312" w:eastAsia="仿宋_GB2312"/>
        </w:rPr>
        <w:t xml:space="preserve"> 七、谈判小组对供应商在谈判、评审过程中的书面交换材料，未按要求加盖电子印章或签字的，视同未提交书面交换材料。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八、谈判小组在最终谈判后，对所有响应文件的有效性、完整性和响应程度进行审查后，确定最后报价的供应商名单。</w:t>
      </w:r>
    </w:p>
    <w:p>
      <w:pPr>
        <w:pStyle w:val="null3"/>
        <w:ind w:firstLine="480"/>
      </w:pPr>
      <w:r>
        <w:rPr>
          <w:rFonts w:ascii="仿宋_GB2312" w:hAnsi="仿宋_GB2312" w:cs="仿宋_GB2312" w:eastAsia="仿宋_GB2312"/>
        </w:rPr>
        <w:t xml:space="preserve"> 九、谈判过程中，谈判的任何一方不得透露与谈判有关的其他供应商的技术资料、价格和其他信息。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十、谈判过程中，谈判小组发现或者知晓供应商存在违法行为的，应当谈判报告中予以记录，并向本级财政部门报告，依法应将该供应商响应文件作无效处理的，应当作无效处理。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二、谈判小组开启报价后，供应商应随时关注项目电子化交易系统信息提醒，登录项目电子化交易系统，通过“等候大厅”进行报价并签章后提交。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三、供应商在未提高响应文件中承诺的标准情况下，其最后报价不得高于对该项目之前的报价，否则，谈判小组将对其响应文件作无效处理，并通过电子化交易系统告知供应商，说明理由。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四、供应商最后报价属于明显低价不正当竞争的，谈判小组应按照“供应商须知前附表”第8项规定处理。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六、供应商未按谈判小组要求在规定时间内提交最后报价的，视为其退出谈判。</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jc w:val="left"/>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（三）供应商的最后报价应符合谈判文件的要求。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6.3.5价格扣除</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6.3.6解释、澄清、说明的有关问题</w:t>
      </w:r>
    </w:p>
    <w:p>
      <w:pPr>
        <w:pStyle w:val="null3"/>
        <w:ind w:firstLine="480"/>
      </w:pPr>
      <w:r>
        <w:rPr>
          <w:rFonts w:ascii="仿宋_GB2312" w:hAnsi="仿宋_GB2312" w:cs="仿宋_GB2312" w:eastAsia="仿宋_GB2312"/>
        </w:rPr>
        <w:t xml:space="preserve"> 一、评审过程中，谈判小组认为竞争性谈判文件有关事项表述不明确或需要说明的，可以提请代理机构书面解释。代理机构的解释不得改变竞争性谈判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谈判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三、代理机构宣布评审结束之前，供应商应通过项目电子化交易系统随时关注评审消息提示，及时响应谈判小组发出的澄清、说明或更正要求。供应商未能及时响应的，自行承担不利后果。</w:t>
      </w:r>
    </w:p>
    <w:p>
      <w:pPr>
        <w:pStyle w:val="null3"/>
        <w:ind w:firstLine="480"/>
      </w:pPr>
      <w:r>
        <w:rPr>
          <w:rFonts w:ascii="仿宋_GB2312" w:hAnsi="仿宋_GB2312" w:cs="仿宋_GB2312" w:eastAsia="仿宋_GB2312"/>
        </w:rPr>
        <w:t>四、谈判小组应当积极履行澄清、说明或者更正的职责，不得滥用权力。</w:t>
      </w:r>
    </w:p>
    <w:p>
      <w:pPr>
        <w:pStyle w:val="null3"/>
        <w:outlineLvl w:val="3"/>
      </w:pPr>
      <w:r>
        <w:rPr>
          <w:rFonts w:ascii="仿宋_GB2312" w:hAnsi="仿宋_GB2312" w:cs="仿宋_GB2312" w:eastAsia="仿宋_GB2312"/>
          <w:sz w:val="24"/>
          <w:b/>
        </w:rPr>
        <w:t>6.3.7复核</w:t>
      </w:r>
    </w:p>
    <w:p>
      <w:pPr>
        <w:pStyle w:val="null3"/>
        <w:ind w:firstLine="480"/>
      </w:pPr>
      <w:r>
        <w:rPr>
          <w:rFonts w:ascii="仿宋_GB2312" w:hAnsi="仿宋_GB2312" w:cs="仿宋_GB2312" w:eastAsia="仿宋_GB2312"/>
        </w:rPr>
        <w:t xml:space="preserve"> 一、评审结束后，谈判小组应当进行复核，特别要对拟推荐为成交供应商的、报价最低的、响应文件被认定为无效的进行重点复核。</w:t>
      </w:r>
    </w:p>
    <w:p>
      <w:pPr>
        <w:pStyle w:val="null3"/>
        <w:ind w:firstLine="480"/>
      </w:pPr>
      <w:r>
        <w:rPr>
          <w:rFonts w:ascii="仿宋_GB2312" w:hAnsi="仿宋_GB2312" w:cs="仿宋_GB2312" w:eastAsia="仿宋_GB2312"/>
        </w:rPr>
        <w:t xml:space="preserve"> 二、评审结果汇总完成后，谈判小组拟出具谈判报告前，代理机构应当组织2名以上的工作人员，会同采购监督人员，依据有关的法律制度和竞争性谈判文件对评审结果进行在线复核，出具复核报告。代理机构复核过程中，谈判小组成员不得离开。</w:t>
      </w:r>
    </w:p>
    <w:p>
      <w:pPr>
        <w:pStyle w:val="null3"/>
        <w:ind w:firstLine="480"/>
      </w:pPr>
      <w:r>
        <w:rPr>
          <w:rFonts w:ascii="仿宋_GB2312" w:hAnsi="仿宋_GB2312" w:cs="仿宋_GB2312" w:eastAsia="仿宋_GB2312"/>
        </w:rPr>
        <w:t xml:space="preserve"> 三、除资格审查认定错误和价格计算错误外，采购人或者代理机构不得以任何理由组织重新评审。采购人、代理机构发现谈判小组未按照竞争性谈判文件规定的评定成交的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ind w:firstLine="480"/>
        <w:jc w:val="left"/>
      </w:pPr>
      <w:r>
        <w:rPr>
          <w:rFonts w:ascii="仿宋_GB2312" w:hAnsi="仿宋_GB2312" w:cs="仿宋_GB2312" w:eastAsia="仿宋_GB2312"/>
        </w:rPr>
        <w:t xml:space="preserve"> 响应文件满足谈判文件全部实质性要求且最终报价最低的供应商为排名第一的成交候选供应商。</w:t>
      </w:r>
    </w:p>
    <w:p>
      <w:pPr>
        <w:pStyle w:val="null3"/>
        <w:ind w:firstLine="480"/>
        <w:jc w:val="left"/>
      </w:pPr>
      <w:r>
        <w:rPr>
          <w:rFonts w:ascii="仿宋_GB2312" w:hAnsi="仿宋_GB2312" w:cs="仿宋_GB2312" w:eastAsia="仿宋_GB2312"/>
        </w:rPr>
        <w:t xml:space="preserve"> 经评审的最终报价是指对供应商最后报价完成价格修正和落实政府采购政策进行的价格扣除后的报价。</w:t>
      </w:r>
    </w:p>
    <w:p>
      <w:pPr>
        <w:pStyle w:val="null3"/>
        <w:outlineLvl w:val="3"/>
      </w:pPr>
      <w:r>
        <w:rPr>
          <w:rFonts w:ascii="仿宋_GB2312" w:hAnsi="仿宋_GB2312" w:cs="仿宋_GB2312" w:eastAsia="仿宋_GB2312"/>
          <w:sz w:val="24"/>
          <w:b/>
        </w:rPr>
        <w:t>6.3.9编写谈判报告</w:t>
      </w:r>
    </w:p>
    <w:p>
      <w:pPr>
        <w:pStyle w:val="null3"/>
        <w:ind w:firstLine="480"/>
      </w:pPr>
      <w:r>
        <w:rPr>
          <w:rFonts w:ascii="仿宋_GB2312" w:hAnsi="仿宋_GB2312" w:cs="仿宋_GB2312" w:eastAsia="仿宋_GB2312"/>
        </w:rPr>
        <w:t xml:space="preserve"> 谈判小组在项目电子化交易系统中编制评审情况，生成谈判报告。谈判报告是谈判小组根据全体成员签字的原始评审记录和评审结果编写的报告，其主要内容包括：</w:t>
      </w:r>
    </w:p>
    <w:p>
      <w:pPr>
        <w:pStyle w:val="null3"/>
        <w:ind w:firstLine="480"/>
      </w:pPr>
      <w:r>
        <w:rPr>
          <w:rFonts w:ascii="仿宋_GB2312" w:hAnsi="仿宋_GB2312" w:cs="仿宋_GB2312" w:eastAsia="仿宋_GB2312"/>
        </w:rPr>
        <w:t>一、邀请供应商参加采购活动的具体方式和相关情况，以及参加采购活动的供应商名单；</w:t>
      </w:r>
    </w:p>
    <w:p>
      <w:pPr>
        <w:pStyle w:val="null3"/>
        <w:ind w:firstLine="480"/>
      </w:pPr>
      <w:r>
        <w:rPr>
          <w:rFonts w:ascii="仿宋_GB2312" w:hAnsi="仿宋_GB2312" w:cs="仿宋_GB2312" w:eastAsia="仿宋_GB2312"/>
        </w:rPr>
        <w:t>二、谈判日期和地点，评审委员会成员名单；</w:t>
      </w:r>
    </w:p>
    <w:p>
      <w:pPr>
        <w:pStyle w:val="null3"/>
        <w:ind w:firstLine="480"/>
      </w:pPr>
      <w:r>
        <w:rPr>
          <w:rFonts w:ascii="仿宋_GB2312" w:hAnsi="仿宋_GB2312" w:cs="仿宋_GB2312" w:eastAsia="仿宋_GB2312"/>
        </w:rPr>
        <w:t>三、参加报价的供应商名单及报价情况和未参加报价的供应商名单及原因；</w:t>
      </w:r>
    </w:p>
    <w:p>
      <w:pPr>
        <w:pStyle w:val="null3"/>
        <w:ind w:firstLine="480"/>
      </w:pPr>
      <w:r>
        <w:rPr>
          <w:rFonts w:ascii="仿宋_GB2312" w:hAnsi="仿宋_GB2312" w:cs="仿宋_GB2312" w:eastAsia="仿宋_GB2312"/>
        </w:rPr>
        <w:t>四、变动谈判文件实质性内容的有关资料及记录；</w:t>
      </w:r>
    </w:p>
    <w:p>
      <w:pPr>
        <w:pStyle w:val="null3"/>
        <w:ind w:firstLine="480"/>
      </w:pPr>
      <w:r>
        <w:rPr>
          <w:rFonts w:ascii="仿宋_GB2312" w:hAnsi="仿宋_GB2312" w:cs="仿宋_GB2312" w:eastAsia="仿宋_GB2312"/>
        </w:rPr>
        <w:t>五、供应商响应文件响应谈判文件实质性要求情况及供应商变动响应文件有关资料及记录；</w:t>
      </w:r>
    </w:p>
    <w:p>
      <w:pPr>
        <w:pStyle w:val="null3"/>
        <w:ind w:firstLine="480"/>
      </w:pPr>
      <w:r>
        <w:rPr>
          <w:rFonts w:ascii="仿宋_GB2312" w:hAnsi="仿宋_GB2312" w:cs="仿宋_GB2312" w:eastAsia="仿宋_GB2312"/>
        </w:rPr>
        <w:t>六、谈判情况记录和说明，包括对供应商的资格审查情况、供应商响应文件谈判情况等；</w:t>
      </w:r>
    </w:p>
    <w:p>
      <w:pPr>
        <w:pStyle w:val="null3"/>
        <w:ind w:firstLine="480"/>
      </w:pPr>
      <w:r>
        <w:rPr>
          <w:rFonts w:ascii="仿宋_GB2312" w:hAnsi="仿宋_GB2312" w:cs="仿宋_GB2312" w:eastAsia="仿宋_GB2312"/>
        </w:rPr>
        <w:t>七、推荐的成交候选供应商名单及理由。</w:t>
      </w:r>
    </w:p>
    <w:p>
      <w:pPr>
        <w:pStyle w:val="null3"/>
        <w:ind w:firstLine="480"/>
      </w:pPr>
      <w:r>
        <w:rPr>
          <w:rFonts w:ascii="仿宋_GB2312" w:hAnsi="仿宋_GB2312" w:cs="仿宋_GB2312" w:eastAsia="仿宋_GB2312"/>
        </w:rPr>
        <w:t xml:space="preserve"> 谈判报告应当由谈判小组全体人员签字或加盖电子签章认可。谈判小组成员对谈判报告有异议的，谈判小组按照少数服从多数的原则推荐成交候选供应商，采购程序继续进行。对谈判报告有异议的谈判小组成员，应当在报告上签署不同意见并说明理由，由谈判小组记录相关情况。谈判小组成员拒绝在报告上签字或加盖电子签章又不说明其不同意见和理由的，视为同意谈判报告。</w:t>
      </w:r>
    </w:p>
    <w:p>
      <w:pPr>
        <w:pStyle w:val="null3"/>
        <w:outlineLvl w:val="3"/>
      </w:pPr>
      <w:r>
        <w:rPr>
          <w:rFonts w:ascii="仿宋_GB2312" w:hAnsi="仿宋_GB2312" w:cs="仿宋_GB2312" w:eastAsia="仿宋_GB2312"/>
          <w:sz w:val="24"/>
          <w:b/>
        </w:rPr>
        <w:t>6.3.10谈判争议处理规则</w:t>
      </w:r>
    </w:p>
    <w:p>
      <w:pPr>
        <w:pStyle w:val="null3"/>
        <w:ind w:firstLine="480"/>
      </w:pPr>
      <w:r>
        <w:rPr>
          <w:rFonts w:ascii="仿宋_GB2312" w:hAnsi="仿宋_GB2312" w:cs="仿宋_GB2312" w:eastAsia="仿宋_GB2312"/>
        </w:rPr>
        <w:t xml:space="preserve"> 在谈判过程中，对于符合性审查、对响应文件作无效响应处理的及其他需要共同认定的事项存在争议的，应当以少数服从多数的原则作出结论，但不得违背竞争性谈判文件规定。持不同意见的谈判小组成员应当在谈判报告中签署不同意见及理由，否则视为同意评审报告。持不同意见的谈判小组成员认为认定过程和结果不符合法律法规或者谈判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6.4终止采购活动情形</w:t>
      </w:r>
    </w:p>
    <w:p>
      <w:pPr>
        <w:pStyle w:val="null3"/>
        <w:ind w:firstLine="480"/>
      </w:pPr>
      <w:r>
        <w:rPr>
          <w:rFonts w:ascii="仿宋_GB2312" w:hAnsi="仿宋_GB2312" w:cs="仿宋_GB2312" w:eastAsia="仿宋_GB2312"/>
        </w:rPr>
        <w:t>有下列情形之一的，本项目终止采购活动：</w:t>
      </w:r>
    </w:p>
    <w:p>
      <w:pPr>
        <w:pStyle w:val="null3"/>
        <w:ind w:firstLine="480"/>
      </w:pPr>
      <w:r>
        <w:rPr>
          <w:rFonts w:ascii="仿宋_GB2312" w:hAnsi="仿宋_GB2312" w:cs="仿宋_GB2312" w:eastAsia="仿宋_GB2312"/>
        </w:rPr>
        <w:t>（一）因情况变化，不再符合规定的竞争性谈判采购方式适用情形的；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（三）提交首次响应文件的供应商不足三家的；</w:t>
      </w:r>
    </w:p>
    <w:p>
      <w:pPr>
        <w:pStyle w:val="null3"/>
        <w:ind w:firstLine="480"/>
      </w:pPr>
      <w:r>
        <w:rPr>
          <w:rFonts w:ascii="仿宋_GB2312" w:hAnsi="仿宋_GB2312" w:cs="仿宋_GB2312" w:eastAsia="仿宋_GB2312"/>
        </w:rPr>
        <w:t>（四）通过资格审查的供应商不足三家的；</w:t>
      </w:r>
    </w:p>
    <w:p>
      <w:pPr>
        <w:pStyle w:val="null3"/>
        <w:ind w:firstLine="480"/>
      </w:pPr>
      <w:r>
        <w:rPr>
          <w:rFonts w:ascii="仿宋_GB2312" w:hAnsi="仿宋_GB2312" w:cs="仿宋_GB2312" w:eastAsia="仿宋_GB2312"/>
        </w:rPr>
        <w:t>（五）通过符合性审查的供应商不足三家的；</w:t>
      </w:r>
    </w:p>
    <w:p>
      <w:pPr>
        <w:pStyle w:val="null3"/>
        <w:ind w:firstLine="480"/>
      </w:pPr>
      <w:r>
        <w:rPr>
          <w:rFonts w:ascii="仿宋_GB2312" w:hAnsi="仿宋_GB2312" w:cs="仿宋_GB2312" w:eastAsia="仿宋_GB2312"/>
        </w:rPr>
        <w:t>（六）提交最后报价的供应商不足三家的；</w:t>
      </w:r>
    </w:p>
    <w:p>
      <w:pPr>
        <w:pStyle w:val="null3"/>
        <w:ind w:firstLine="480"/>
      </w:pPr>
      <w:r>
        <w:rPr>
          <w:rFonts w:ascii="仿宋_GB2312" w:hAnsi="仿宋_GB2312" w:cs="仿宋_GB2312" w:eastAsia="仿宋_GB2312"/>
        </w:rPr>
        <w:t>（七）通过最后报价审查的供应商不足三家的。</w:t>
      </w:r>
    </w:p>
    <w:p>
      <w:pPr>
        <w:pStyle w:val="null3"/>
        <w:ind w:firstLine="480"/>
      </w:pPr>
      <w:r>
        <w:rPr>
          <w:rFonts w:ascii="仿宋_GB2312" w:hAnsi="仿宋_GB2312" w:cs="仿宋_GB2312" w:eastAsia="仿宋_GB2312"/>
        </w:rPr>
        <w:t>注：公开招标转竞争性谈判只有两家供应商参与的情形除外。</w:t>
      </w:r>
    </w:p>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一、评审结束后，代理机构在评审结束之日起2个工作日内将谈判报告及有关资料送交采购人确定成交供应商。</w:t>
      </w:r>
    </w:p>
    <w:p>
      <w:pPr>
        <w:pStyle w:val="null3"/>
      </w:pPr>
      <w:r>
        <w:rPr>
          <w:rFonts w:ascii="仿宋_GB2312" w:hAnsi="仿宋_GB2312" w:cs="仿宋_GB2312" w:eastAsia="仿宋_GB2312"/>
        </w:rPr>
        <w:t>二、采购人在收到谈判报告后5个工作日内，在谈判报告确定的成交候选供应商名单中按顺序确定1名成交供应商。成交候选供应商并列的，由采购人采取随机抽取的方式确定成交供应商。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三、采购人逾期未确定成交供应商且不提出异议的，视为确定谈判报告提出的排序第一的供应商为成交供应商。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6.6谈判小组成员义务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（二）按照客观、公正、审慎的原则，根据竞争性谈判文件规定的评审程序、评审方法和评审标准进行独立评审；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6.7谈判纪律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详见附件：商务需求偏离表.docx</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详见附件：供应商资格证明文件.docx</w:t>
      </w:r>
    </w:p>
    <w:p>
      <w:pPr>
        <w:pStyle w:val="null3"/>
        <w:ind w:firstLine="960"/>
      </w:pPr>
      <w:r>
        <w:rPr>
          <w:rFonts w:ascii="仿宋_GB2312" w:hAnsi="仿宋_GB2312" w:cs="仿宋_GB2312" w:eastAsia="仿宋_GB2312"/>
        </w:rPr>
        <w:t>详见附件：供应商承诺书.docx</w:t>
      </w:r>
    </w:p>
    <w:p>
      <w:pPr>
        <w:pStyle w:val="null3"/>
        <w:ind w:firstLine="960"/>
      </w:pPr>
      <w:r>
        <w:rPr>
          <w:rFonts w:ascii="仿宋_GB2312" w:hAnsi="仿宋_GB2312" w:cs="仿宋_GB2312" w:eastAsia="仿宋_GB2312"/>
        </w:rPr>
        <w:t>详见附件：服务方案.docx</w:t>
      </w:r>
    </w:p>
    <w:p>
      <w:pPr>
        <w:pStyle w:val="null3"/>
        <w:ind w:firstLine="960"/>
      </w:pPr>
      <w:r>
        <w:rPr>
          <w:rFonts w:ascii="仿宋_GB2312" w:hAnsi="仿宋_GB2312" w:cs="仿宋_GB2312" w:eastAsia="仿宋_GB2312"/>
        </w:rPr>
        <w:t>详见附件：其他应说明的事项.docx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详见附件：拟签订的合同1.docx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