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A409A0">
      <w:pPr>
        <w:tabs>
          <w:tab w:val="center" w:pos="4535"/>
        </w:tabs>
        <w:rPr>
          <w:rFonts w:ascii="黑体" w:eastAsia="黑体"/>
          <w:b/>
          <w:sz w:val="32"/>
          <w:szCs w:val="32"/>
          <w:highlight w:val="none"/>
        </w:rPr>
      </w:pPr>
      <w:r>
        <w:rPr>
          <w:rFonts w:ascii="黑体" w:eastAsia="黑体"/>
          <w:b/>
          <w:sz w:val="32"/>
          <w:szCs w:val="32"/>
          <w:highlight w:val="none"/>
        </w:rPr>
        <w:t>合同编号</w:t>
      </w:r>
      <w:r>
        <w:rPr>
          <w:rFonts w:hint="eastAsia" w:ascii="黑体" w:eastAsia="黑体"/>
          <w:b/>
          <w:sz w:val="32"/>
          <w:szCs w:val="32"/>
          <w:highlight w:val="none"/>
        </w:rPr>
        <w:t>：</w:t>
      </w:r>
    </w:p>
    <w:p w14:paraId="5F2A63FD">
      <w:pPr>
        <w:jc w:val="center"/>
        <w:rPr>
          <w:rFonts w:ascii="黑体" w:eastAsia="黑体"/>
          <w:sz w:val="52"/>
          <w:szCs w:val="52"/>
          <w:highlight w:val="none"/>
        </w:rPr>
      </w:pPr>
    </w:p>
    <w:p w14:paraId="4640F3B7">
      <w:pPr>
        <w:ind w:firstLine="2409" w:firstLineChars="500"/>
        <w:rPr>
          <w:rFonts w:ascii="宋体" w:hAnsi="宋体"/>
          <w:b/>
          <w:snapToGrid w:val="0"/>
          <w:sz w:val="48"/>
          <w:szCs w:val="48"/>
          <w:highlight w:val="none"/>
        </w:rPr>
      </w:pPr>
    </w:p>
    <w:p w14:paraId="6933CC31">
      <w:pPr>
        <w:ind w:firstLine="2409" w:firstLineChars="500"/>
        <w:rPr>
          <w:rFonts w:ascii="宋体" w:hAnsi="宋体"/>
          <w:b/>
          <w:snapToGrid w:val="0"/>
          <w:sz w:val="48"/>
          <w:szCs w:val="48"/>
          <w:highlight w:val="none"/>
        </w:rPr>
      </w:pPr>
    </w:p>
    <w:p w14:paraId="14D6578B">
      <w:pPr>
        <w:ind w:firstLine="2409" w:firstLineChars="500"/>
        <w:rPr>
          <w:rFonts w:ascii="宋体" w:hAnsi="宋体"/>
          <w:b/>
          <w:snapToGrid w:val="0"/>
          <w:sz w:val="48"/>
          <w:szCs w:val="48"/>
          <w:highlight w:val="none"/>
        </w:rPr>
      </w:pPr>
      <w:r>
        <w:rPr>
          <w:rFonts w:hint="eastAsia" w:ascii="宋体" w:hAnsi="宋体"/>
          <w:b/>
          <w:snapToGrid w:val="0"/>
          <w:sz w:val="48"/>
          <w:szCs w:val="48"/>
          <w:highlight w:val="none"/>
        </w:rPr>
        <w:t>西安市第九医院</w:t>
      </w:r>
    </w:p>
    <w:p w14:paraId="669274AF">
      <w:pPr>
        <w:ind w:firstLine="2209" w:firstLineChars="500"/>
        <w:rPr>
          <w:rFonts w:ascii="宋体" w:hAnsi="宋体"/>
          <w:b/>
          <w:snapToGrid w:val="0"/>
          <w:sz w:val="44"/>
          <w:szCs w:val="44"/>
          <w:highlight w:val="none"/>
        </w:rPr>
      </w:pPr>
      <w:r>
        <w:rPr>
          <w:rFonts w:hint="eastAsia" w:ascii="宋体" w:hAnsi="宋体"/>
          <w:b/>
          <w:snapToGrid w:val="0"/>
          <w:sz w:val="44"/>
          <w:szCs w:val="44"/>
          <w:highlight w:val="none"/>
        </w:rPr>
        <w:t>XXXXXXX （项目名称）</w:t>
      </w:r>
    </w:p>
    <w:p w14:paraId="06067232">
      <w:pPr>
        <w:pStyle w:val="7"/>
        <w:rPr>
          <w:rFonts w:ascii="宋体" w:hAnsi="宋体"/>
          <w:b/>
          <w:snapToGrid w:val="0"/>
          <w:sz w:val="48"/>
          <w:szCs w:val="48"/>
          <w:highlight w:val="none"/>
        </w:rPr>
      </w:pPr>
    </w:p>
    <w:p w14:paraId="58C68613">
      <w:pPr>
        <w:jc w:val="center"/>
        <w:rPr>
          <w:rFonts w:ascii="黑体" w:eastAsia="黑体"/>
          <w:b/>
          <w:sz w:val="72"/>
          <w:szCs w:val="72"/>
          <w:highlight w:val="none"/>
        </w:rPr>
      </w:pPr>
      <w:r>
        <w:rPr>
          <w:rFonts w:hint="eastAsia" w:ascii="黑体" w:eastAsia="黑体"/>
          <w:b/>
          <w:sz w:val="72"/>
          <w:szCs w:val="72"/>
          <w:highlight w:val="none"/>
        </w:rPr>
        <w:t>供 货 合 同</w:t>
      </w:r>
    </w:p>
    <w:p w14:paraId="015A7916">
      <w:pPr>
        <w:pStyle w:val="4"/>
        <w:ind w:firstLine="2096" w:firstLineChars="696"/>
        <w:rPr>
          <w:rFonts w:ascii="宋体" w:hAnsi="宋体"/>
          <w:b/>
          <w:snapToGrid w:val="0"/>
          <w:sz w:val="30"/>
          <w:szCs w:val="30"/>
          <w:highlight w:val="none"/>
        </w:rPr>
      </w:pPr>
      <w:r>
        <w:rPr>
          <w:rFonts w:hint="eastAsia" w:ascii="宋体" w:hAnsi="宋体"/>
          <w:b/>
          <w:snapToGrid w:val="0"/>
          <w:sz w:val="30"/>
          <w:szCs w:val="30"/>
          <w:highlight w:val="none"/>
        </w:rPr>
        <w:t>（</w:t>
      </w:r>
      <w:r>
        <w:rPr>
          <w:rFonts w:hint="eastAsia" w:ascii="宋体" w:hAnsi="宋体"/>
          <w:snapToGrid w:val="0"/>
          <w:sz w:val="30"/>
          <w:szCs w:val="30"/>
          <w:highlight w:val="none"/>
        </w:rPr>
        <w:t>项目编号</w:t>
      </w:r>
      <w:r>
        <w:rPr>
          <w:rFonts w:hint="eastAsia" w:ascii="宋体" w:hAnsi="宋体"/>
          <w:b/>
          <w:snapToGrid w:val="0"/>
          <w:sz w:val="30"/>
          <w:szCs w:val="30"/>
          <w:highlight w:val="none"/>
        </w:rPr>
        <w:t>：           ）</w:t>
      </w:r>
    </w:p>
    <w:p w14:paraId="39720110">
      <w:pPr>
        <w:jc w:val="center"/>
        <w:rPr>
          <w:rFonts w:ascii="宋体" w:hAnsi="宋体"/>
          <w:b/>
          <w:snapToGrid w:val="0"/>
          <w:sz w:val="40"/>
          <w:szCs w:val="48"/>
          <w:highlight w:val="none"/>
        </w:rPr>
      </w:pPr>
    </w:p>
    <w:p w14:paraId="280D32A2">
      <w:pPr>
        <w:jc w:val="center"/>
        <w:rPr>
          <w:rFonts w:ascii="黑体" w:eastAsia="黑体"/>
          <w:sz w:val="30"/>
          <w:szCs w:val="30"/>
          <w:highlight w:val="none"/>
        </w:rPr>
      </w:pPr>
    </w:p>
    <w:p w14:paraId="39840267">
      <w:pPr>
        <w:jc w:val="center"/>
        <w:rPr>
          <w:rFonts w:ascii="黑体" w:eastAsia="黑体"/>
          <w:sz w:val="30"/>
          <w:szCs w:val="30"/>
          <w:highlight w:val="none"/>
        </w:rPr>
      </w:pPr>
    </w:p>
    <w:p w14:paraId="74FD4C1A">
      <w:pPr>
        <w:jc w:val="center"/>
        <w:rPr>
          <w:rFonts w:ascii="黑体" w:eastAsia="黑体"/>
          <w:sz w:val="30"/>
          <w:szCs w:val="30"/>
          <w:highlight w:val="none"/>
        </w:rPr>
      </w:pPr>
    </w:p>
    <w:p w14:paraId="48BA6FD5">
      <w:pPr>
        <w:ind w:firstLine="2080" w:firstLineChars="650"/>
        <w:rPr>
          <w:rFonts w:ascii="黑体" w:eastAsia="黑体"/>
          <w:sz w:val="32"/>
          <w:szCs w:val="32"/>
          <w:highlight w:val="none"/>
        </w:rPr>
      </w:pPr>
      <w:r>
        <w:rPr>
          <w:rFonts w:hint="eastAsia" w:ascii="黑体" w:eastAsia="黑体"/>
          <w:sz w:val="32"/>
          <w:szCs w:val="32"/>
          <w:highlight w:val="none"/>
        </w:rPr>
        <w:t>甲  方：西安市第九医院</w:t>
      </w:r>
    </w:p>
    <w:p w14:paraId="253FF78A">
      <w:pPr>
        <w:tabs>
          <w:tab w:val="left" w:pos="480"/>
        </w:tabs>
        <w:spacing w:line="360" w:lineRule="auto"/>
        <w:ind w:firstLine="2080" w:firstLineChars="650"/>
        <w:rPr>
          <w:rFonts w:ascii="黑体" w:hAnsi="宋体" w:eastAsia="黑体" w:cs="黑体"/>
          <w:sz w:val="32"/>
          <w:highlight w:val="none"/>
        </w:rPr>
      </w:pPr>
      <w:r>
        <w:rPr>
          <w:rFonts w:hint="eastAsia" w:ascii="黑体" w:hAnsi="黑体" w:eastAsia="黑体"/>
          <w:sz w:val="32"/>
          <w:szCs w:val="32"/>
          <w:highlight w:val="none"/>
        </w:rPr>
        <w:t>乙  方：xxxxxx</w:t>
      </w:r>
    </w:p>
    <w:p w14:paraId="5EE4F807">
      <w:pPr>
        <w:pStyle w:val="4"/>
        <w:ind w:firstLine="640"/>
        <w:rPr>
          <w:rFonts w:eastAsia="黑体"/>
          <w:highlight w:val="none"/>
        </w:rPr>
      </w:pPr>
      <w:r>
        <w:rPr>
          <w:rFonts w:hint="eastAsia" w:ascii="黑体" w:hAnsi="黑体" w:eastAsia="黑体"/>
          <w:sz w:val="32"/>
          <w:szCs w:val="32"/>
          <w:highlight w:val="none"/>
        </w:rPr>
        <w:t xml:space="preserve">           </w:t>
      </w:r>
    </w:p>
    <w:p w14:paraId="7AE63EF9">
      <w:pPr>
        <w:rPr>
          <w:rFonts w:ascii="黑体" w:eastAsia="黑体"/>
          <w:sz w:val="32"/>
          <w:szCs w:val="32"/>
          <w:highlight w:val="none"/>
        </w:rPr>
      </w:pPr>
    </w:p>
    <w:p w14:paraId="519F0B1A">
      <w:pPr>
        <w:jc w:val="center"/>
        <w:rPr>
          <w:rFonts w:ascii="黑体" w:eastAsia="黑体"/>
          <w:sz w:val="30"/>
          <w:szCs w:val="30"/>
          <w:highlight w:val="none"/>
        </w:rPr>
      </w:pPr>
    </w:p>
    <w:p w14:paraId="7F63104E">
      <w:pPr>
        <w:pStyle w:val="4"/>
        <w:ind w:firstLine="360"/>
        <w:rPr>
          <w:highlight w:val="none"/>
        </w:rPr>
      </w:pPr>
    </w:p>
    <w:p w14:paraId="57624D08">
      <w:pPr>
        <w:pStyle w:val="4"/>
        <w:ind w:firstLine="360"/>
        <w:rPr>
          <w:highlight w:val="none"/>
        </w:rPr>
      </w:pPr>
    </w:p>
    <w:p w14:paraId="13EDB24B">
      <w:pPr>
        <w:jc w:val="center"/>
        <w:rPr>
          <w:rFonts w:ascii="黑体" w:eastAsia="黑体"/>
          <w:sz w:val="32"/>
          <w:szCs w:val="32"/>
          <w:highlight w:val="none"/>
        </w:rPr>
      </w:pPr>
      <w:r>
        <w:rPr>
          <w:rFonts w:hint="eastAsia" w:ascii="黑体" w:eastAsia="黑体"/>
          <w:sz w:val="32"/>
          <w:szCs w:val="32"/>
          <w:highlight w:val="none"/>
        </w:rPr>
        <w:t>202 年   月</w:t>
      </w:r>
    </w:p>
    <w:p w14:paraId="3F7E3309">
      <w:pPr>
        <w:jc w:val="center"/>
        <w:rPr>
          <w:rFonts w:ascii="黑体" w:eastAsia="黑体"/>
          <w:sz w:val="32"/>
          <w:szCs w:val="32"/>
          <w:highlight w:val="none"/>
        </w:rPr>
      </w:pPr>
      <w:r>
        <w:rPr>
          <w:rFonts w:hint="eastAsia" w:ascii="黑体" w:eastAsia="黑体"/>
          <w:sz w:val="32"/>
          <w:szCs w:val="32"/>
          <w:highlight w:val="none"/>
        </w:rPr>
        <w:t>中国  西安</w:t>
      </w:r>
    </w:p>
    <w:p w14:paraId="16848C8D">
      <w:pPr>
        <w:rPr>
          <w:rFonts w:ascii="宋体" w:hAnsi="宋体" w:eastAsia="宋体"/>
          <w:sz w:val="30"/>
          <w:szCs w:val="30"/>
          <w:highlight w:val="none"/>
        </w:rPr>
      </w:pPr>
    </w:p>
    <w:p w14:paraId="6E35B507">
      <w:pPr>
        <w:ind w:firstLine="643" w:firstLineChars="200"/>
        <w:jc w:val="center"/>
        <w:rPr>
          <w:rFonts w:ascii="宋体" w:hAnsi="宋体" w:eastAsia="宋体"/>
          <w:b/>
          <w:sz w:val="32"/>
          <w:szCs w:val="32"/>
          <w:highlight w:val="none"/>
        </w:rPr>
      </w:pPr>
    </w:p>
    <w:p w14:paraId="74A756AF">
      <w:pPr>
        <w:ind w:firstLine="643" w:firstLineChars="200"/>
        <w:jc w:val="center"/>
        <w:rPr>
          <w:rFonts w:ascii="宋体" w:hAnsi="宋体" w:eastAsia="宋体"/>
          <w:b/>
          <w:sz w:val="32"/>
          <w:szCs w:val="32"/>
          <w:highlight w:val="none"/>
        </w:rPr>
      </w:pPr>
      <w:r>
        <w:rPr>
          <w:rFonts w:hint="eastAsia" w:ascii="宋体" w:hAnsi="宋体" w:eastAsia="宋体"/>
          <w:b/>
          <w:sz w:val="32"/>
          <w:szCs w:val="32"/>
          <w:highlight w:val="none"/>
        </w:rPr>
        <w:t>供货合同</w:t>
      </w:r>
    </w:p>
    <w:p w14:paraId="400489D4">
      <w:pPr>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甲方（采购人）：西安市第九医院</w:t>
      </w:r>
    </w:p>
    <w:p w14:paraId="5073852D">
      <w:pPr>
        <w:tabs>
          <w:tab w:val="left" w:pos="480"/>
        </w:tabs>
        <w:spacing w:line="400" w:lineRule="exact"/>
        <w:ind w:firstLine="560" w:firstLineChars="200"/>
        <w:rPr>
          <w:rFonts w:ascii="仿宋" w:hAnsi="仿宋" w:eastAsia="仿宋" w:cs="黑体"/>
          <w:sz w:val="28"/>
          <w:szCs w:val="28"/>
          <w:highlight w:val="none"/>
        </w:rPr>
      </w:pPr>
      <w:r>
        <w:rPr>
          <w:rFonts w:hint="eastAsia" w:ascii="仿宋" w:hAnsi="仿宋" w:eastAsia="仿宋"/>
          <w:sz w:val="28"/>
          <w:szCs w:val="28"/>
          <w:highlight w:val="none"/>
        </w:rPr>
        <w:t>乙方（供应商）：</w:t>
      </w:r>
    </w:p>
    <w:p w14:paraId="01CC0406">
      <w:pPr>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就甲方所需产品/设备，甲方委托</w:t>
      </w:r>
      <w:r>
        <w:rPr>
          <w:rFonts w:hint="eastAsia" w:ascii="仿宋" w:hAnsi="仿宋" w:eastAsia="仿宋" w:cs="仿宋"/>
          <w:sz w:val="28"/>
          <w:szCs w:val="28"/>
          <w:highlight w:val="none"/>
        </w:rPr>
        <w:t>采购代理机构</w:t>
      </w:r>
      <w:r>
        <w:rPr>
          <w:rFonts w:hint="eastAsia" w:ascii="仿宋" w:hAnsi="仿宋" w:eastAsia="仿宋"/>
          <w:sz w:val="28"/>
          <w:szCs w:val="28"/>
          <w:highlight w:val="none"/>
        </w:rPr>
        <w:t>在西安市财政局政府采购管理处的监督管理下，按照政府采购程序组织（ ）招标，确定乙方为成交供应商。依据《中华人民共和国政府采购法》《中华人民共和国招标投标法》《中华人民共和国民法典》等规定，以及公开招标文件、成交供应商公开招标响应文件正本和澄清表（函）、</w:t>
      </w:r>
      <w:r>
        <w:rPr>
          <w:rFonts w:hint="eastAsia" w:ascii="仿宋" w:hAnsi="仿宋" w:eastAsia="仿宋" w:cs="仿宋"/>
          <w:sz w:val="28"/>
          <w:szCs w:val="28"/>
          <w:highlight w:val="none"/>
        </w:rPr>
        <w:t>中标通知书</w:t>
      </w:r>
      <w:r>
        <w:rPr>
          <w:rFonts w:hint="eastAsia" w:ascii="仿宋" w:hAnsi="仿宋" w:eastAsia="仿宋"/>
          <w:sz w:val="28"/>
          <w:szCs w:val="28"/>
          <w:highlight w:val="none"/>
        </w:rPr>
        <w:t>，经甲、乙双方协商一致，达成如下条款，签订本合同。</w:t>
      </w:r>
    </w:p>
    <w:p w14:paraId="00E28787">
      <w:pPr>
        <w:tabs>
          <w:tab w:val="left" w:pos="480"/>
        </w:tabs>
        <w:spacing w:line="400" w:lineRule="exact"/>
        <w:ind w:firstLine="562" w:firstLineChars="200"/>
        <w:rPr>
          <w:rFonts w:ascii="仿宋" w:hAnsi="仿宋" w:eastAsia="仿宋"/>
          <w:b/>
          <w:sz w:val="28"/>
          <w:szCs w:val="28"/>
          <w:highlight w:val="none"/>
        </w:rPr>
      </w:pPr>
      <w:r>
        <w:rPr>
          <w:rFonts w:hint="eastAsia" w:ascii="仿宋" w:hAnsi="仿宋" w:eastAsia="仿宋"/>
          <w:b/>
          <w:sz w:val="28"/>
          <w:szCs w:val="28"/>
          <w:highlight w:val="none"/>
        </w:rPr>
        <w:t>一、合同标的物及数量</w:t>
      </w:r>
      <w:r>
        <w:rPr>
          <w:rFonts w:hint="eastAsia" w:ascii="仿宋" w:hAnsi="仿宋" w:eastAsia="仿宋"/>
          <w:sz w:val="28"/>
          <w:szCs w:val="28"/>
          <w:highlight w:val="none"/>
        </w:rPr>
        <w:t>（以响应文件正本和澄清表〈函〉为准）</w:t>
      </w:r>
    </w:p>
    <w:tbl>
      <w:tblPr>
        <w:tblStyle w:val="5"/>
        <w:tblW w:w="90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
        <w:gridCol w:w="1531"/>
        <w:gridCol w:w="1695"/>
        <w:gridCol w:w="928"/>
        <w:gridCol w:w="1125"/>
        <w:gridCol w:w="1416"/>
        <w:gridCol w:w="1417"/>
      </w:tblGrid>
      <w:tr w14:paraId="0ADA9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1" w:type="dxa"/>
            <w:tcBorders>
              <w:top w:val="single" w:color="auto" w:sz="4" w:space="0"/>
              <w:left w:val="single" w:color="auto" w:sz="4" w:space="0"/>
              <w:bottom w:val="single" w:color="auto" w:sz="4" w:space="0"/>
              <w:right w:val="single" w:color="auto" w:sz="4" w:space="0"/>
            </w:tcBorders>
            <w:noWrap/>
            <w:vAlign w:val="center"/>
          </w:tcPr>
          <w:p w14:paraId="5E7E3967">
            <w:pPr>
              <w:tabs>
                <w:tab w:val="left" w:pos="480"/>
              </w:tabs>
              <w:spacing w:line="400" w:lineRule="exact"/>
              <w:jc w:val="center"/>
              <w:rPr>
                <w:rFonts w:ascii="仿宋" w:hAnsi="仿宋" w:eastAsia="仿宋"/>
                <w:sz w:val="28"/>
                <w:szCs w:val="28"/>
                <w:highlight w:val="none"/>
              </w:rPr>
            </w:pPr>
            <w:r>
              <w:rPr>
                <w:rFonts w:hint="eastAsia" w:ascii="仿宋" w:hAnsi="仿宋" w:eastAsia="仿宋"/>
                <w:sz w:val="28"/>
                <w:szCs w:val="28"/>
                <w:highlight w:val="none"/>
              </w:rPr>
              <w:t>序号</w:t>
            </w:r>
          </w:p>
        </w:tc>
        <w:tc>
          <w:tcPr>
            <w:tcW w:w="1531" w:type="dxa"/>
            <w:tcBorders>
              <w:top w:val="single" w:color="auto" w:sz="4" w:space="0"/>
              <w:left w:val="single" w:color="auto" w:sz="4" w:space="0"/>
              <w:bottom w:val="single" w:color="auto" w:sz="4" w:space="0"/>
              <w:right w:val="single" w:color="auto" w:sz="4" w:space="0"/>
            </w:tcBorders>
            <w:noWrap/>
            <w:vAlign w:val="center"/>
          </w:tcPr>
          <w:p w14:paraId="54285B1D">
            <w:pPr>
              <w:tabs>
                <w:tab w:val="left" w:pos="480"/>
              </w:tabs>
              <w:spacing w:line="400" w:lineRule="exact"/>
              <w:jc w:val="center"/>
              <w:rPr>
                <w:rFonts w:ascii="仿宋" w:hAnsi="仿宋" w:eastAsia="仿宋"/>
                <w:sz w:val="28"/>
                <w:szCs w:val="28"/>
                <w:highlight w:val="none"/>
              </w:rPr>
            </w:pPr>
            <w:r>
              <w:rPr>
                <w:rFonts w:hint="eastAsia" w:ascii="仿宋" w:hAnsi="仿宋" w:eastAsia="仿宋"/>
                <w:sz w:val="28"/>
                <w:szCs w:val="28"/>
                <w:highlight w:val="none"/>
              </w:rPr>
              <w:t>货物名称</w:t>
            </w:r>
          </w:p>
        </w:tc>
        <w:tc>
          <w:tcPr>
            <w:tcW w:w="1695" w:type="dxa"/>
            <w:tcBorders>
              <w:top w:val="single" w:color="auto" w:sz="4" w:space="0"/>
              <w:left w:val="single" w:color="auto" w:sz="4" w:space="0"/>
              <w:bottom w:val="single" w:color="auto" w:sz="4" w:space="0"/>
              <w:right w:val="single" w:color="auto" w:sz="4" w:space="0"/>
            </w:tcBorders>
            <w:noWrap/>
            <w:vAlign w:val="center"/>
          </w:tcPr>
          <w:p w14:paraId="56CB6EB7">
            <w:pPr>
              <w:tabs>
                <w:tab w:val="left" w:pos="480"/>
              </w:tabs>
              <w:spacing w:line="400" w:lineRule="exact"/>
              <w:jc w:val="center"/>
              <w:rPr>
                <w:rFonts w:ascii="仿宋" w:hAnsi="仿宋" w:eastAsia="仿宋"/>
                <w:sz w:val="28"/>
                <w:szCs w:val="28"/>
                <w:highlight w:val="none"/>
              </w:rPr>
            </w:pPr>
            <w:r>
              <w:rPr>
                <w:rFonts w:hint="eastAsia" w:ascii="仿宋" w:hAnsi="仿宋" w:eastAsia="仿宋"/>
                <w:sz w:val="28"/>
                <w:szCs w:val="28"/>
                <w:highlight w:val="none"/>
              </w:rPr>
              <w:t>规格参数</w:t>
            </w:r>
          </w:p>
        </w:tc>
        <w:tc>
          <w:tcPr>
            <w:tcW w:w="928" w:type="dxa"/>
            <w:tcBorders>
              <w:top w:val="single" w:color="auto" w:sz="4" w:space="0"/>
              <w:left w:val="single" w:color="auto" w:sz="4" w:space="0"/>
              <w:bottom w:val="single" w:color="auto" w:sz="4" w:space="0"/>
              <w:right w:val="single" w:color="auto" w:sz="4" w:space="0"/>
            </w:tcBorders>
            <w:noWrap/>
            <w:vAlign w:val="center"/>
          </w:tcPr>
          <w:p w14:paraId="19A1FA03">
            <w:pPr>
              <w:tabs>
                <w:tab w:val="left" w:pos="480"/>
              </w:tabs>
              <w:spacing w:line="400" w:lineRule="exact"/>
              <w:jc w:val="center"/>
              <w:rPr>
                <w:rFonts w:ascii="仿宋" w:hAnsi="仿宋" w:eastAsia="仿宋"/>
                <w:sz w:val="28"/>
                <w:szCs w:val="28"/>
                <w:highlight w:val="none"/>
              </w:rPr>
            </w:pPr>
            <w:r>
              <w:rPr>
                <w:rFonts w:hint="eastAsia" w:ascii="仿宋" w:hAnsi="仿宋" w:eastAsia="仿宋"/>
                <w:sz w:val="28"/>
                <w:szCs w:val="28"/>
                <w:highlight w:val="none"/>
              </w:rPr>
              <w:t>数量</w:t>
            </w:r>
          </w:p>
        </w:tc>
        <w:tc>
          <w:tcPr>
            <w:tcW w:w="1125" w:type="dxa"/>
            <w:tcBorders>
              <w:top w:val="single" w:color="auto" w:sz="4" w:space="0"/>
              <w:left w:val="single" w:color="auto" w:sz="4" w:space="0"/>
              <w:bottom w:val="single" w:color="auto" w:sz="4" w:space="0"/>
              <w:right w:val="single" w:color="auto" w:sz="4" w:space="0"/>
            </w:tcBorders>
            <w:noWrap/>
            <w:vAlign w:val="top"/>
          </w:tcPr>
          <w:p w14:paraId="36FC6EA7">
            <w:pPr>
              <w:tabs>
                <w:tab w:val="left" w:pos="480"/>
              </w:tabs>
              <w:spacing w:line="400" w:lineRule="exact"/>
              <w:jc w:val="center"/>
              <w:rPr>
                <w:rFonts w:ascii="仿宋" w:hAnsi="仿宋" w:eastAsia="仿宋"/>
                <w:sz w:val="28"/>
                <w:szCs w:val="28"/>
                <w:highlight w:val="none"/>
              </w:rPr>
            </w:pPr>
            <w:r>
              <w:rPr>
                <w:rFonts w:hint="eastAsia" w:ascii="仿宋" w:hAnsi="仿宋" w:eastAsia="仿宋"/>
                <w:sz w:val="28"/>
                <w:szCs w:val="28"/>
                <w:highlight w:val="none"/>
              </w:rPr>
              <w:t>产地</w:t>
            </w:r>
          </w:p>
        </w:tc>
        <w:tc>
          <w:tcPr>
            <w:tcW w:w="1416" w:type="dxa"/>
            <w:tcBorders>
              <w:top w:val="single" w:color="auto" w:sz="4" w:space="0"/>
              <w:left w:val="single" w:color="auto" w:sz="4" w:space="0"/>
              <w:bottom w:val="single" w:color="auto" w:sz="4" w:space="0"/>
              <w:right w:val="single" w:color="auto" w:sz="4" w:space="0"/>
            </w:tcBorders>
            <w:noWrap/>
            <w:vAlign w:val="top"/>
          </w:tcPr>
          <w:p w14:paraId="3C72501A">
            <w:pPr>
              <w:tabs>
                <w:tab w:val="left" w:pos="480"/>
              </w:tabs>
              <w:spacing w:line="400" w:lineRule="exact"/>
              <w:jc w:val="center"/>
              <w:rPr>
                <w:rFonts w:ascii="仿宋" w:hAnsi="仿宋" w:eastAsia="仿宋"/>
                <w:sz w:val="28"/>
                <w:szCs w:val="28"/>
                <w:highlight w:val="none"/>
              </w:rPr>
            </w:pPr>
            <w:r>
              <w:rPr>
                <w:rFonts w:hint="eastAsia" w:ascii="仿宋" w:hAnsi="仿宋" w:eastAsia="仿宋"/>
                <w:sz w:val="28"/>
                <w:szCs w:val="28"/>
                <w:highlight w:val="none"/>
              </w:rPr>
              <w:t>品牌</w:t>
            </w:r>
          </w:p>
        </w:tc>
        <w:tc>
          <w:tcPr>
            <w:tcW w:w="1417" w:type="dxa"/>
            <w:tcBorders>
              <w:top w:val="single" w:color="auto" w:sz="4" w:space="0"/>
              <w:left w:val="single" w:color="auto" w:sz="4" w:space="0"/>
              <w:bottom w:val="single" w:color="auto" w:sz="4" w:space="0"/>
              <w:right w:val="single" w:color="auto" w:sz="4" w:space="0"/>
            </w:tcBorders>
            <w:noWrap/>
            <w:vAlign w:val="top"/>
          </w:tcPr>
          <w:p w14:paraId="64B1DF30">
            <w:pPr>
              <w:tabs>
                <w:tab w:val="left" w:pos="480"/>
              </w:tabs>
              <w:spacing w:line="400" w:lineRule="exact"/>
              <w:jc w:val="center"/>
              <w:rPr>
                <w:rFonts w:ascii="仿宋" w:hAnsi="仿宋" w:eastAsia="仿宋"/>
                <w:sz w:val="28"/>
                <w:szCs w:val="28"/>
                <w:highlight w:val="none"/>
              </w:rPr>
            </w:pPr>
            <w:r>
              <w:rPr>
                <w:rFonts w:hint="eastAsia" w:ascii="仿宋" w:hAnsi="仿宋" w:eastAsia="仿宋"/>
                <w:sz w:val="28"/>
                <w:szCs w:val="28"/>
                <w:highlight w:val="none"/>
              </w:rPr>
              <w:t>备注</w:t>
            </w:r>
          </w:p>
        </w:tc>
      </w:tr>
      <w:tr w14:paraId="58D62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1" w:type="dxa"/>
            <w:tcBorders>
              <w:top w:val="single" w:color="auto" w:sz="4" w:space="0"/>
              <w:left w:val="single" w:color="auto" w:sz="4" w:space="0"/>
              <w:bottom w:val="single" w:color="auto" w:sz="4" w:space="0"/>
              <w:right w:val="single" w:color="auto" w:sz="4" w:space="0"/>
            </w:tcBorders>
            <w:noWrap/>
            <w:vAlign w:val="center"/>
          </w:tcPr>
          <w:p w14:paraId="607E10FD">
            <w:pPr>
              <w:tabs>
                <w:tab w:val="left" w:pos="480"/>
              </w:tabs>
              <w:spacing w:line="400" w:lineRule="exact"/>
              <w:jc w:val="center"/>
              <w:rPr>
                <w:rFonts w:ascii="仿宋" w:hAnsi="仿宋" w:eastAsia="仿宋"/>
                <w:sz w:val="28"/>
                <w:szCs w:val="28"/>
                <w:highlight w:val="none"/>
              </w:rPr>
            </w:pPr>
            <w:r>
              <w:rPr>
                <w:rFonts w:hint="eastAsia" w:ascii="仿宋" w:hAnsi="仿宋" w:eastAsia="仿宋"/>
                <w:sz w:val="28"/>
                <w:szCs w:val="28"/>
                <w:highlight w:val="none"/>
              </w:rPr>
              <w:t>1</w:t>
            </w:r>
          </w:p>
        </w:tc>
        <w:tc>
          <w:tcPr>
            <w:tcW w:w="1531" w:type="dxa"/>
            <w:tcBorders>
              <w:top w:val="single" w:color="auto" w:sz="4" w:space="0"/>
              <w:left w:val="single" w:color="auto" w:sz="4" w:space="0"/>
              <w:bottom w:val="single" w:color="auto" w:sz="4" w:space="0"/>
              <w:right w:val="single" w:color="auto" w:sz="4" w:space="0"/>
            </w:tcBorders>
            <w:noWrap/>
            <w:vAlign w:val="center"/>
          </w:tcPr>
          <w:p w14:paraId="7538CC71">
            <w:pPr>
              <w:tabs>
                <w:tab w:val="left" w:pos="480"/>
              </w:tabs>
              <w:spacing w:line="400" w:lineRule="exact"/>
              <w:jc w:val="center"/>
              <w:rPr>
                <w:rFonts w:ascii="仿宋" w:hAnsi="仿宋" w:eastAsia="仿宋"/>
                <w:sz w:val="28"/>
                <w:szCs w:val="28"/>
                <w:highlight w:val="none"/>
              </w:rPr>
            </w:pPr>
          </w:p>
        </w:tc>
        <w:tc>
          <w:tcPr>
            <w:tcW w:w="1695" w:type="dxa"/>
            <w:tcBorders>
              <w:top w:val="single" w:color="auto" w:sz="4" w:space="0"/>
              <w:left w:val="single" w:color="auto" w:sz="4" w:space="0"/>
              <w:bottom w:val="single" w:color="auto" w:sz="4" w:space="0"/>
              <w:right w:val="single" w:color="auto" w:sz="4" w:space="0"/>
            </w:tcBorders>
            <w:noWrap/>
            <w:vAlign w:val="center"/>
          </w:tcPr>
          <w:p w14:paraId="04392904">
            <w:pPr>
              <w:tabs>
                <w:tab w:val="left" w:pos="480"/>
              </w:tabs>
              <w:spacing w:line="400" w:lineRule="exact"/>
              <w:jc w:val="center"/>
              <w:rPr>
                <w:rFonts w:ascii="仿宋" w:hAnsi="仿宋" w:eastAsia="仿宋"/>
                <w:sz w:val="28"/>
                <w:szCs w:val="28"/>
                <w:highlight w:val="none"/>
              </w:rPr>
            </w:pPr>
          </w:p>
        </w:tc>
        <w:tc>
          <w:tcPr>
            <w:tcW w:w="928" w:type="dxa"/>
            <w:tcBorders>
              <w:top w:val="single" w:color="auto" w:sz="4" w:space="0"/>
              <w:left w:val="single" w:color="auto" w:sz="4" w:space="0"/>
              <w:bottom w:val="single" w:color="auto" w:sz="4" w:space="0"/>
              <w:right w:val="single" w:color="auto" w:sz="4" w:space="0"/>
            </w:tcBorders>
            <w:noWrap/>
            <w:vAlign w:val="center"/>
          </w:tcPr>
          <w:p w14:paraId="626A1C6E">
            <w:pPr>
              <w:spacing w:line="400" w:lineRule="exact"/>
              <w:jc w:val="center"/>
              <w:rPr>
                <w:rFonts w:ascii="仿宋" w:hAnsi="仿宋" w:eastAsia="仿宋"/>
                <w:sz w:val="28"/>
                <w:szCs w:val="28"/>
                <w:highlight w:val="none"/>
              </w:rPr>
            </w:pPr>
          </w:p>
        </w:tc>
        <w:tc>
          <w:tcPr>
            <w:tcW w:w="1125" w:type="dxa"/>
            <w:tcBorders>
              <w:top w:val="single" w:color="auto" w:sz="4" w:space="0"/>
              <w:left w:val="single" w:color="auto" w:sz="4" w:space="0"/>
              <w:bottom w:val="single" w:color="auto" w:sz="4" w:space="0"/>
              <w:right w:val="single" w:color="auto" w:sz="4" w:space="0"/>
            </w:tcBorders>
            <w:noWrap/>
            <w:vAlign w:val="center"/>
          </w:tcPr>
          <w:p w14:paraId="5B251FA6">
            <w:pPr>
              <w:spacing w:line="400" w:lineRule="exact"/>
              <w:jc w:val="center"/>
              <w:rPr>
                <w:rFonts w:ascii="仿宋" w:hAnsi="仿宋" w:eastAsia="仿宋"/>
                <w:sz w:val="28"/>
                <w:szCs w:val="28"/>
                <w:highlight w:val="none"/>
              </w:rPr>
            </w:pPr>
          </w:p>
        </w:tc>
        <w:tc>
          <w:tcPr>
            <w:tcW w:w="1416" w:type="dxa"/>
            <w:tcBorders>
              <w:top w:val="single" w:color="auto" w:sz="4" w:space="0"/>
              <w:left w:val="single" w:color="auto" w:sz="4" w:space="0"/>
              <w:bottom w:val="single" w:color="auto" w:sz="4" w:space="0"/>
              <w:right w:val="single" w:color="auto" w:sz="4" w:space="0"/>
            </w:tcBorders>
            <w:noWrap/>
            <w:vAlign w:val="center"/>
          </w:tcPr>
          <w:p w14:paraId="23159A5A">
            <w:pPr>
              <w:tabs>
                <w:tab w:val="left" w:pos="480"/>
              </w:tabs>
              <w:spacing w:line="400" w:lineRule="exact"/>
              <w:jc w:val="center"/>
              <w:rPr>
                <w:rFonts w:ascii="仿宋" w:hAnsi="仿宋" w:eastAsia="仿宋"/>
                <w:sz w:val="28"/>
                <w:szCs w:val="28"/>
                <w:highlight w:val="none"/>
              </w:rPr>
            </w:pPr>
          </w:p>
        </w:tc>
        <w:tc>
          <w:tcPr>
            <w:tcW w:w="1417" w:type="dxa"/>
            <w:tcBorders>
              <w:top w:val="single" w:color="auto" w:sz="4" w:space="0"/>
              <w:left w:val="single" w:color="auto" w:sz="4" w:space="0"/>
              <w:bottom w:val="single" w:color="auto" w:sz="4" w:space="0"/>
              <w:right w:val="single" w:color="auto" w:sz="4" w:space="0"/>
            </w:tcBorders>
            <w:noWrap/>
            <w:vAlign w:val="center"/>
          </w:tcPr>
          <w:p w14:paraId="70F5D9C9">
            <w:pPr>
              <w:tabs>
                <w:tab w:val="left" w:pos="480"/>
              </w:tabs>
              <w:spacing w:line="400" w:lineRule="exact"/>
              <w:jc w:val="center"/>
              <w:rPr>
                <w:rFonts w:ascii="仿宋" w:hAnsi="仿宋" w:eastAsia="仿宋"/>
                <w:sz w:val="28"/>
                <w:szCs w:val="28"/>
                <w:highlight w:val="none"/>
              </w:rPr>
            </w:pPr>
          </w:p>
        </w:tc>
      </w:tr>
      <w:tr w14:paraId="695BE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1" w:type="dxa"/>
            <w:tcBorders>
              <w:top w:val="single" w:color="auto" w:sz="4" w:space="0"/>
              <w:left w:val="single" w:color="auto" w:sz="4" w:space="0"/>
              <w:bottom w:val="single" w:color="auto" w:sz="4" w:space="0"/>
              <w:right w:val="single" w:color="auto" w:sz="4" w:space="0"/>
            </w:tcBorders>
            <w:noWrap/>
            <w:vAlign w:val="center"/>
          </w:tcPr>
          <w:p w14:paraId="4003A500">
            <w:pPr>
              <w:tabs>
                <w:tab w:val="left" w:pos="480"/>
              </w:tabs>
              <w:spacing w:line="400" w:lineRule="exact"/>
              <w:jc w:val="center"/>
              <w:rPr>
                <w:rFonts w:ascii="仿宋" w:hAnsi="仿宋" w:eastAsia="仿宋"/>
                <w:sz w:val="28"/>
                <w:szCs w:val="28"/>
                <w:highlight w:val="none"/>
              </w:rPr>
            </w:pPr>
            <w:r>
              <w:rPr>
                <w:rFonts w:hint="eastAsia" w:ascii="仿宋" w:hAnsi="仿宋" w:eastAsia="仿宋"/>
                <w:sz w:val="28"/>
                <w:szCs w:val="28"/>
                <w:highlight w:val="none"/>
              </w:rPr>
              <w:t>2</w:t>
            </w:r>
          </w:p>
        </w:tc>
        <w:tc>
          <w:tcPr>
            <w:tcW w:w="1531" w:type="dxa"/>
            <w:tcBorders>
              <w:top w:val="single" w:color="auto" w:sz="4" w:space="0"/>
              <w:left w:val="single" w:color="auto" w:sz="4" w:space="0"/>
              <w:bottom w:val="single" w:color="auto" w:sz="4" w:space="0"/>
              <w:right w:val="single" w:color="auto" w:sz="4" w:space="0"/>
            </w:tcBorders>
            <w:noWrap/>
            <w:vAlign w:val="center"/>
          </w:tcPr>
          <w:p w14:paraId="3B2390B3">
            <w:pPr>
              <w:tabs>
                <w:tab w:val="left" w:pos="480"/>
              </w:tabs>
              <w:spacing w:line="400" w:lineRule="exact"/>
              <w:jc w:val="center"/>
              <w:rPr>
                <w:rFonts w:ascii="仿宋" w:hAnsi="仿宋" w:eastAsia="仿宋"/>
                <w:sz w:val="28"/>
                <w:szCs w:val="28"/>
                <w:highlight w:val="none"/>
              </w:rPr>
            </w:pPr>
          </w:p>
        </w:tc>
        <w:tc>
          <w:tcPr>
            <w:tcW w:w="1695" w:type="dxa"/>
            <w:tcBorders>
              <w:top w:val="single" w:color="auto" w:sz="4" w:space="0"/>
              <w:left w:val="single" w:color="auto" w:sz="4" w:space="0"/>
              <w:bottom w:val="single" w:color="auto" w:sz="4" w:space="0"/>
              <w:right w:val="single" w:color="auto" w:sz="4" w:space="0"/>
            </w:tcBorders>
            <w:noWrap/>
            <w:vAlign w:val="center"/>
          </w:tcPr>
          <w:p w14:paraId="70209454">
            <w:pPr>
              <w:tabs>
                <w:tab w:val="left" w:pos="480"/>
              </w:tabs>
              <w:spacing w:line="400" w:lineRule="exact"/>
              <w:jc w:val="center"/>
              <w:rPr>
                <w:rFonts w:ascii="仿宋" w:hAnsi="仿宋" w:eastAsia="仿宋"/>
                <w:sz w:val="28"/>
                <w:szCs w:val="28"/>
                <w:highlight w:val="none"/>
              </w:rPr>
            </w:pPr>
          </w:p>
        </w:tc>
        <w:tc>
          <w:tcPr>
            <w:tcW w:w="928" w:type="dxa"/>
            <w:tcBorders>
              <w:top w:val="single" w:color="auto" w:sz="4" w:space="0"/>
              <w:left w:val="single" w:color="auto" w:sz="4" w:space="0"/>
              <w:bottom w:val="single" w:color="auto" w:sz="4" w:space="0"/>
              <w:right w:val="single" w:color="auto" w:sz="4" w:space="0"/>
            </w:tcBorders>
            <w:noWrap/>
            <w:vAlign w:val="center"/>
          </w:tcPr>
          <w:p w14:paraId="25BA0932">
            <w:pPr>
              <w:spacing w:line="400" w:lineRule="exact"/>
              <w:jc w:val="center"/>
              <w:rPr>
                <w:rFonts w:ascii="仿宋" w:hAnsi="仿宋" w:eastAsia="仿宋"/>
                <w:sz w:val="28"/>
                <w:szCs w:val="28"/>
                <w:highlight w:val="none"/>
              </w:rPr>
            </w:pPr>
          </w:p>
        </w:tc>
        <w:tc>
          <w:tcPr>
            <w:tcW w:w="1125" w:type="dxa"/>
            <w:tcBorders>
              <w:top w:val="single" w:color="auto" w:sz="4" w:space="0"/>
              <w:left w:val="single" w:color="auto" w:sz="4" w:space="0"/>
              <w:bottom w:val="single" w:color="auto" w:sz="4" w:space="0"/>
              <w:right w:val="single" w:color="auto" w:sz="4" w:space="0"/>
            </w:tcBorders>
            <w:noWrap/>
            <w:vAlign w:val="center"/>
          </w:tcPr>
          <w:p w14:paraId="2149A51D">
            <w:pPr>
              <w:spacing w:line="400" w:lineRule="exact"/>
              <w:jc w:val="center"/>
              <w:rPr>
                <w:rFonts w:ascii="仿宋" w:hAnsi="仿宋" w:eastAsia="仿宋"/>
                <w:sz w:val="28"/>
                <w:szCs w:val="28"/>
                <w:highlight w:val="none"/>
              </w:rPr>
            </w:pPr>
          </w:p>
        </w:tc>
        <w:tc>
          <w:tcPr>
            <w:tcW w:w="1416" w:type="dxa"/>
            <w:tcBorders>
              <w:top w:val="single" w:color="auto" w:sz="4" w:space="0"/>
              <w:left w:val="single" w:color="auto" w:sz="4" w:space="0"/>
              <w:bottom w:val="single" w:color="auto" w:sz="4" w:space="0"/>
              <w:right w:val="single" w:color="auto" w:sz="4" w:space="0"/>
            </w:tcBorders>
            <w:noWrap/>
            <w:vAlign w:val="center"/>
          </w:tcPr>
          <w:p w14:paraId="230006CA">
            <w:pPr>
              <w:tabs>
                <w:tab w:val="left" w:pos="480"/>
              </w:tabs>
              <w:spacing w:line="400" w:lineRule="exact"/>
              <w:jc w:val="center"/>
              <w:rPr>
                <w:rFonts w:ascii="仿宋" w:hAnsi="仿宋" w:eastAsia="仿宋"/>
                <w:sz w:val="28"/>
                <w:szCs w:val="28"/>
                <w:highlight w:val="none"/>
              </w:rPr>
            </w:pPr>
          </w:p>
        </w:tc>
        <w:tc>
          <w:tcPr>
            <w:tcW w:w="1417" w:type="dxa"/>
            <w:tcBorders>
              <w:top w:val="single" w:color="auto" w:sz="4" w:space="0"/>
              <w:left w:val="single" w:color="auto" w:sz="4" w:space="0"/>
              <w:bottom w:val="single" w:color="auto" w:sz="4" w:space="0"/>
              <w:right w:val="single" w:color="auto" w:sz="4" w:space="0"/>
            </w:tcBorders>
            <w:noWrap/>
            <w:vAlign w:val="center"/>
          </w:tcPr>
          <w:p w14:paraId="7C2CFCCF">
            <w:pPr>
              <w:tabs>
                <w:tab w:val="left" w:pos="480"/>
              </w:tabs>
              <w:spacing w:line="400" w:lineRule="exact"/>
              <w:jc w:val="center"/>
              <w:rPr>
                <w:rFonts w:ascii="仿宋" w:hAnsi="仿宋" w:eastAsia="仿宋"/>
                <w:sz w:val="28"/>
                <w:szCs w:val="28"/>
                <w:highlight w:val="none"/>
              </w:rPr>
            </w:pPr>
          </w:p>
        </w:tc>
      </w:tr>
      <w:tr w14:paraId="0481F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1" w:type="dxa"/>
            <w:tcBorders>
              <w:top w:val="single" w:color="auto" w:sz="4" w:space="0"/>
              <w:left w:val="single" w:color="auto" w:sz="4" w:space="0"/>
              <w:bottom w:val="single" w:color="auto" w:sz="4" w:space="0"/>
              <w:right w:val="single" w:color="auto" w:sz="4" w:space="0"/>
            </w:tcBorders>
            <w:noWrap/>
            <w:vAlign w:val="center"/>
          </w:tcPr>
          <w:p w14:paraId="66C551DD">
            <w:pPr>
              <w:tabs>
                <w:tab w:val="left" w:pos="480"/>
              </w:tabs>
              <w:spacing w:line="400" w:lineRule="exact"/>
              <w:jc w:val="center"/>
              <w:rPr>
                <w:rFonts w:ascii="仿宋" w:hAnsi="仿宋" w:eastAsia="仿宋"/>
                <w:sz w:val="28"/>
                <w:szCs w:val="28"/>
                <w:highlight w:val="none"/>
              </w:rPr>
            </w:pPr>
            <w:r>
              <w:rPr>
                <w:rFonts w:hint="eastAsia" w:ascii="仿宋" w:hAnsi="仿宋" w:eastAsia="仿宋"/>
                <w:sz w:val="28"/>
                <w:szCs w:val="28"/>
                <w:highlight w:val="none"/>
              </w:rPr>
              <w:t>合计</w:t>
            </w:r>
          </w:p>
        </w:tc>
        <w:tc>
          <w:tcPr>
            <w:tcW w:w="1531" w:type="dxa"/>
            <w:tcBorders>
              <w:top w:val="single" w:color="auto" w:sz="4" w:space="0"/>
              <w:left w:val="single" w:color="auto" w:sz="4" w:space="0"/>
              <w:bottom w:val="single" w:color="auto" w:sz="4" w:space="0"/>
              <w:right w:val="single" w:color="auto" w:sz="4" w:space="0"/>
            </w:tcBorders>
            <w:noWrap/>
            <w:vAlign w:val="center"/>
          </w:tcPr>
          <w:p w14:paraId="33511B57">
            <w:pPr>
              <w:tabs>
                <w:tab w:val="left" w:pos="480"/>
              </w:tabs>
              <w:spacing w:line="400" w:lineRule="exact"/>
              <w:jc w:val="center"/>
              <w:rPr>
                <w:rFonts w:ascii="仿宋" w:hAnsi="仿宋" w:eastAsia="仿宋"/>
                <w:sz w:val="28"/>
                <w:szCs w:val="28"/>
                <w:highlight w:val="none"/>
              </w:rPr>
            </w:pPr>
          </w:p>
        </w:tc>
        <w:tc>
          <w:tcPr>
            <w:tcW w:w="1695" w:type="dxa"/>
            <w:tcBorders>
              <w:top w:val="single" w:color="auto" w:sz="4" w:space="0"/>
              <w:left w:val="single" w:color="auto" w:sz="4" w:space="0"/>
              <w:bottom w:val="single" w:color="auto" w:sz="4" w:space="0"/>
              <w:right w:val="single" w:color="auto" w:sz="4" w:space="0"/>
            </w:tcBorders>
            <w:noWrap/>
            <w:vAlign w:val="center"/>
          </w:tcPr>
          <w:p w14:paraId="56767ED2">
            <w:pPr>
              <w:tabs>
                <w:tab w:val="left" w:pos="480"/>
              </w:tabs>
              <w:spacing w:line="400" w:lineRule="exact"/>
              <w:jc w:val="center"/>
              <w:rPr>
                <w:rFonts w:ascii="仿宋" w:hAnsi="仿宋" w:eastAsia="仿宋"/>
                <w:sz w:val="28"/>
                <w:szCs w:val="28"/>
                <w:highlight w:val="none"/>
              </w:rPr>
            </w:pPr>
          </w:p>
        </w:tc>
        <w:tc>
          <w:tcPr>
            <w:tcW w:w="928" w:type="dxa"/>
            <w:tcBorders>
              <w:top w:val="single" w:color="auto" w:sz="4" w:space="0"/>
              <w:left w:val="single" w:color="auto" w:sz="4" w:space="0"/>
              <w:bottom w:val="single" w:color="auto" w:sz="4" w:space="0"/>
              <w:right w:val="single" w:color="auto" w:sz="4" w:space="0"/>
            </w:tcBorders>
            <w:noWrap/>
            <w:vAlign w:val="center"/>
          </w:tcPr>
          <w:p w14:paraId="33277262">
            <w:pPr>
              <w:spacing w:line="400" w:lineRule="exact"/>
              <w:jc w:val="center"/>
              <w:rPr>
                <w:rFonts w:ascii="仿宋" w:hAnsi="仿宋" w:eastAsia="仿宋"/>
                <w:sz w:val="28"/>
                <w:szCs w:val="28"/>
                <w:highlight w:val="none"/>
              </w:rPr>
            </w:pPr>
          </w:p>
        </w:tc>
        <w:tc>
          <w:tcPr>
            <w:tcW w:w="1125" w:type="dxa"/>
            <w:tcBorders>
              <w:top w:val="single" w:color="auto" w:sz="4" w:space="0"/>
              <w:left w:val="single" w:color="auto" w:sz="4" w:space="0"/>
              <w:bottom w:val="single" w:color="auto" w:sz="4" w:space="0"/>
              <w:right w:val="single" w:color="auto" w:sz="4" w:space="0"/>
            </w:tcBorders>
            <w:noWrap/>
            <w:vAlign w:val="center"/>
          </w:tcPr>
          <w:p w14:paraId="2E8297EA">
            <w:pPr>
              <w:spacing w:line="400" w:lineRule="exact"/>
              <w:jc w:val="center"/>
              <w:rPr>
                <w:rFonts w:ascii="仿宋" w:hAnsi="仿宋" w:eastAsia="仿宋"/>
                <w:sz w:val="28"/>
                <w:szCs w:val="28"/>
                <w:highlight w:val="none"/>
              </w:rPr>
            </w:pPr>
          </w:p>
        </w:tc>
        <w:tc>
          <w:tcPr>
            <w:tcW w:w="1416" w:type="dxa"/>
            <w:tcBorders>
              <w:top w:val="single" w:color="auto" w:sz="4" w:space="0"/>
              <w:left w:val="single" w:color="auto" w:sz="4" w:space="0"/>
              <w:bottom w:val="single" w:color="auto" w:sz="4" w:space="0"/>
              <w:right w:val="single" w:color="auto" w:sz="4" w:space="0"/>
            </w:tcBorders>
            <w:noWrap/>
            <w:vAlign w:val="center"/>
          </w:tcPr>
          <w:p w14:paraId="70AD2C8F">
            <w:pPr>
              <w:tabs>
                <w:tab w:val="left" w:pos="480"/>
              </w:tabs>
              <w:spacing w:line="400" w:lineRule="exact"/>
              <w:jc w:val="center"/>
              <w:rPr>
                <w:rFonts w:ascii="仿宋" w:hAnsi="仿宋" w:eastAsia="仿宋"/>
                <w:sz w:val="28"/>
                <w:szCs w:val="28"/>
                <w:highlight w:val="none"/>
              </w:rPr>
            </w:pPr>
          </w:p>
        </w:tc>
        <w:tc>
          <w:tcPr>
            <w:tcW w:w="1417" w:type="dxa"/>
            <w:tcBorders>
              <w:top w:val="single" w:color="auto" w:sz="4" w:space="0"/>
              <w:left w:val="single" w:color="auto" w:sz="4" w:space="0"/>
              <w:bottom w:val="single" w:color="auto" w:sz="4" w:space="0"/>
              <w:right w:val="single" w:color="auto" w:sz="4" w:space="0"/>
            </w:tcBorders>
            <w:noWrap/>
            <w:vAlign w:val="center"/>
          </w:tcPr>
          <w:p w14:paraId="0B925AB1">
            <w:pPr>
              <w:tabs>
                <w:tab w:val="left" w:pos="480"/>
              </w:tabs>
              <w:spacing w:line="400" w:lineRule="exact"/>
              <w:jc w:val="center"/>
              <w:rPr>
                <w:rFonts w:ascii="仿宋" w:hAnsi="仿宋" w:eastAsia="仿宋"/>
                <w:sz w:val="28"/>
                <w:szCs w:val="28"/>
                <w:highlight w:val="none"/>
              </w:rPr>
            </w:pPr>
          </w:p>
        </w:tc>
      </w:tr>
      <w:tr w14:paraId="01205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41" w:type="dxa"/>
            <w:tcBorders>
              <w:top w:val="single" w:color="auto" w:sz="4" w:space="0"/>
              <w:left w:val="single" w:color="auto" w:sz="4" w:space="0"/>
              <w:bottom w:val="single" w:color="auto" w:sz="4" w:space="0"/>
              <w:right w:val="single" w:color="auto" w:sz="4" w:space="0"/>
            </w:tcBorders>
            <w:noWrap/>
            <w:vAlign w:val="center"/>
          </w:tcPr>
          <w:p w14:paraId="58F8E896">
            <w:pPr>
              <w:tabs>
                <w:tab w:val="left" w:pos="480"/>
              </w:tabs>
              <w:spacing w:line="400" w:lineRule="exact"/>
              <w:jc w:val="center"/>
              <w:rPr>
                <w:rFonts w:ascii="仿宋" w:hAnsi="仿宋" w:eastAsia="仿宋"/>
                <w:sz w:val="28"/>
                <w:szCs w:val="28"/>
                <w:highlight w:val="none"/>
              </w:rPr>
            </w:pPr>
            <w:r>
              <w:rPr>
                <w:rFonts w:hint="eastAsia" w:ascii="仿宋" w:hAnsi="仿宋" w:eastAsia="仿宋"/>
                <w:sz w:val="28"/>
                <w:szCs w:val="28"/>
                <w:highlight w:val="none"/>
              </w:rPr>
              <w:t>备注</w:t>
            </w:r>
          </w:p>
        </w:tc>
        <w:tc>
          <w:tcPr>
            <w:tcW w:w="1531" w:type="dxa"/>
            <w:tcBorders>
              <w:top w:val="single" w:color="auto" w:sz="4" w:space="0"/>
              <w:left w:val="single" w:color="auto" w:sz="4" w:space="0"/>
              <w:bottom w:val="single" w:color="auto" w:sz="4" w:space="0"/>
              <w:right w:val="single" w:color="auto" w:sz="4" w:space="0"/>
            </w:tcBorders>
            <w:noWrap/>
            <w:vAlign w:val="center"/>
          </w:tcPr>
          <w:p w14:paraId="20C9FA32">
            <w:pPr>
              <w:tabs>
                <w:tab w:val="left" w:pos="480"/>
              </w:tabs>
              <w:spacing w:line="400" w:lineRule="exact"/>
              <w:jc w:val="center"/>
              <w:rPr>
                <w:rFonts w:ascii="仿宋" w:hAnsi="仿宋" w:eastAsia="仿宋"/>
                <w:sz w:val="28"/>
                <w:szCs w:val="28"/>
                <w:highlight w:val="none"/>
              </w:rPr>
            </w:pPr>
          </w:p>
        </w:tc>
        <w:tc>
          <w:tcPr>
            <w:tcW w:w="1695" w:type="dxa"/>
            <w:tcBorders>
              <w:top w:val="single" w:color="auto" w:sz="4" w:space="0"/>
              <w:left w:val="single" w:color="auto" w:sz="4" w:space="0"/>
              <w:bottom w:val="single" w:color="auto" w:sz="4" w:space="0"/>
              <w:right w:val="single" w:color="auto" w:sz="4" w:space="0"/>
            </w:tcBorders>
            <w:noWrap/>
            <w:vAlign w:val="center"/>
          </w:tcPr>
          <w:p w14:paraId="19FACF65">
            <w:pPr>
              <w:tabs>
                <w:tab w:val="left" w:pos="480"/>
              </w:tabs>
              <w:spacing w:line="400" w:lineRule="exact"/>
              <w:jc w:val="center"/>
              <w:rPr>
                <w:rFonts w:ascii="仿宋" w:hAnsi="仿宋" w:eastAsia="仿宋"/>
                <w:sz w:val="28"/>
                <w:szCs w:val="28"/>
                <w:highlight w:val="none"/>
              </w:rPr>
            </w:pPr>
          </w:p>
        </w:tc>
        <w:tc>
          <w:tcPr>
            <w:tcW w:w="928" w:type="dxa"/>
            <w:tcBorders>
              <w:top w:val="single" w:color="auto" w:sz="4" w:space="0"/>
              <w:left w:val="single" w:color="auto" w:sz="4" w:space="0"/>
              <w:bottom w:val="single" w:color="auto" w:sz="4" w:space="0"/>
              <w:right w:val="single" w:color="auto" w:sz="4" w:space="0"/>
            </w:tcBorders>
            <w:noWrap/>
            <w:vAlign w:val="center"/>
          </w:tcPr>
          <w:p w14:paraId="179FCDAD">
            <w:pPr>
              <w:spacing w:line="400" w:lineRule="exact"/>
              <w:jc w:val="center"/>
              <w:rPr>
                <w:rFonts w:ascii="仿宋" w:hAnsi="仿宋" w:eastAsia="仿宋"/>
                <w:sz w:val="28"/>
                <w:szCs w:val="28"/>
                <w:highlight w:val="none"/>
              </w:rPr>
            </w:pPr>
          </w:p>
        </w:tc>
        <w:tc>
          <w:tcPr>
            <w:tcW w:w="1125" w:type="dxa"/>
            <w:tcBorders>
              <w:top w:val="single" w:color="auto" w:sz="4" w:space="0"/>
              <w:left w:val="single" w:color="auto" w:sz="4" w:space="0"/>
              <w:bottom w:val="single" w:color="auto" w:sz="4" w:space="0"/>
              <w:right w:val="single" w:color="auto" w:sz="4" w:space="0"/>
            </w:tcBorders>
            <w:noWrap/>
            <w:vAlign w:val="center"/>
          </w:tcPr>
          <w:p w14:paraId="53C92253">
            <w:pPr>
              <w:spacing w:line="400" w:lineRule="exact"/>
              <w:jc w:val="center"/>
              <w:rPr>
                <w:rFonts w:ascii="仿宋" w:hAnsi="仿宋" w:eastAsia="仿宋"/>
                <w:sz w:val="28"/>
                <w:szCs w:val="28"/>
                <w:highlight w:val="none"/>
              </w:rPr>
            </w:pPr>
          </w:p>
        </w:tc>
        <w:tc>
          <w:tcPr>
            <w:tcW w:w="1416" w:type="dxa"/>
            <w:tcBorders>
              <w:top w:val="single" w:color="auto" w:sz="4" w:space="0"/>
              <w:left w:val="single" w:color="auto" w:sz="4" w:space="0"/>
              <w:bottom w:val="single" w:color="auto" w:sz="4" w:space="0"/>
              <w:right w:val="single" w:color="auto" w:sz="4" w:space="0"/>
            </w:tcBorders>
            <w:noWrap/>
            <w:vAlign w:val="center"/>
          </w:tcPr>
          <w:p w14:paraId="78A562AF">
            <w:pPr>
              <w:tabs>
                <w:tab w:val="left" w:pos="480"/>
              </w:tabs>
              <w:spacing w:line="400" w:lineRule="exact"/>
              <w:jc w:val="center"/>
              <w:rPr>
                <w:rFonts w:ascii="仿宋" w:hAnsi="仿宋" w:eastAsia="仿宋"/>
                <w:sz w:val="28"/>
                <w:szCs w:val="28"/>
                <w:highlight w:val="none"/>
              </w:rPr>
            </w:pPr>
          </w:p>
        </w:tc>
        <w:tc>
          <w:tcPr>
            <w:tcW w:w="1417" w:type="dxa"/>
            <w:tcBorders>
              <w:top w:val="single" w:color="auto" w:sz="4" w:space="0"/>
              <w:left w:val="single" w:color="auto" w:sz="4" w:space="0"/>
              <w:bottom w:val="single" w:color="auto" w:sz="4" w:space="0"/>
              <w:right w:val="single" w:color="auto" w:sz="4" w:space="0"/>
            </w:tcBorders>
            <w:noWrap/>
            <w:vAlign w:val="center"/>
          </w:tcPr>
          <w:p w14:paraId="61C528AF">
            <w:pPr>
              <w:tabs>
                <w:tab w:val="left" w:pos="480"/>
              </w:tabs>
              <w:spacing w:line="400" w:lineRule="exact"/>
              <w:jc w:val="center"/>
              <w:rPr>
                <w:rFonts w:ascii="仿宋" w:hAnsi="仿宋" w:eastAsia="仿宋"/>
                <w:sz w:val="28"/>
                <w:szCs w:val="28"/>
                <w:highlight w:val="none"/>
              </w:rPr>
            </w:pPr>
          </w:p>
        </w:tc>
      </w:tr>
      <w:tr w14:paraId="58C3B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1" w:type="dxa"/>
            <w:tcBorders>
              <w:top w:val="single" w:color="auto" w:sz="4" w:space="0"/>
              <w:left w:val="single" w:color="auto" w:sz="4" w:space="0"/>
              <w:bottom w:val="single" w:color="auto" w:sz="4" w:space="0"/>
              <w:right w:val="single" w:color="auto" w:sz="4" w:space="0"/>
            </w:tcBorders>
            <w:noWrap/>
            <w:vAlign w:val="center"/>
          </w:tcPr>
          <w:p w14:paraId="184D24C4">
            <w:pPr>
              <w:tabs>
                <w:tab w:val="left" w:pos="480"/>
              </w:tabs>
              <w:spacing w:line="400" w:lineRule="exact"/>
              <w:jc w:val="center"/>
              <w:rPr>
                <w:rFonts w:ascii="仿宋" w:hAnsi="仿宋" w:eastAsia="仿宋"/>
                <w:sz w:val="28"/>
                <w:szCs w:val="28"/>
                <w:highlight w:val="none"/>
              </w:rPr>
            </w:pPr>
            <w:r>
              <w:rPr>
                <w:rFonts w:hint="eastAsia" w:ascii="仿宋" w:hAnsi="仿宋" w:eastAsia="仿宋"/>
                <w:sz w:val="28"/>
                <w:szCs w:val="28"/>
                <w:highlight w:val="none"/>
              </w:rPr>
              <w:t>说明</w:t>
            </w:r>
          </w:p>
        </w:tc>
        <w:tc>
          <w:tcPr>
            <w:tcW w:w="8112" w:type="dxa"/>
            <w:gridSpan w:val="6"/>
            <w:tcBorders>
              <w:top w:val="single" w:color="auto" w:sz="4" w:space="0"/>
              <w:left w:val="single" w:color="auto" w:sz="4" w:space="0"/>
              <w:bottom w:val="single" w:color="auto" w:sz="4" w:space="0"/>
              <w:right w:val="single" w:color="auto" w:sz="4" w:space="0"/>
            </w:tcBorders>
            <w:noWrap/>
            <w:vAlign w:val="center"/>
          </w:tcPr>
          <w:p w14:paraId="0087A909">
            <w:pPr>
              <w:tabs>
                <w:tab w:val="left" w:pos="480"/>
              </w:tabs>
              <w:spacing w:line="400" w:lineRule="exact"/>
              <w:jc w:val="left"/>
              <w:rPr>
                <w:rFonts w:ascii="仿宋" w:hAnsi="仿宋" w:eastAsia="仿宋"/>
                <w:sz w:val="28"/>
                <w:szCs w:val="28"/>
                <w:highlight w:val="none"/>
              </w:rPr>
            </w:pPr>
            <w:r>
              <w:rPr>
                <w:rFonts w:hint="eastAsia" w:ascii="仿宋" w:hAnsi="仿宋" w:eastAsia="仿宋"/>
                <w:sz w:val="28"/>
                <w:szCs w:val="28"/>
                <w:highlight w:val="none"/>
              </w:rPr>
              <w:t>附技术参数说明</w:t>
            </w:r>
          </w:p>
        </w:tc>
      </w:tr>
    </w:tbl>
    <w:p w14:paraId="31786933">
      <w:pPr>
        <w:spacing w:line="400" w:lineRule="exact"/>
        <w:rPr>
          <w:rFonts w:ascii="仿宋" w:hAnsi="仿宋" w:eastAsia="仿宋"/>
          <w:b/>
          <w:bCs/>
          <w:spacing w:val="-20"/>
          <w:kern w:val="0"/>
          <w:sz w:val="28"/>
          <w:szCs w:val="28"/>
          <w:highlight w:val="none"/>
        </w:rPr>
      </w:pPr>
      <w:r>
        <w:rPr>
          <w:rFonts w:hint="eastAsia" w:ascii="仿宋" w:hAnsi="仿宋" w:eastAsia="仿宋"/>
          <w:b/>
          <w:bCs/>
          <w:spacing w:val="-20"/>
          <w:kern w:val="0"/>
          <w:sz w:val="28"/>
          <w:szCs w:val="28"/>
          <w:highlight w:val="none"/>
        </w:rPr>
        <w:t>（技术参数可附附件或详见投标文件，需说明清楚，表格可根据实际情况调整）</w:t>
      </w:r>
    </w:p>
    <w:p w14:paraId="094D2422">
      <w:pPr>
        <w:tabs>
          <w:tab w:val="left" w:pos="480"/>
        </w:tabs>
        <w:spacing w:line="400" w:lineRule="exact"/>
        <w:ind w:firstLine="551" w:firstLineChars="196"/>
        <w:rPr>
          <w:rFonts w:ascii="仿宋" w:hAnsi="仿宋" w:eastAsia="仿宋"/>
          <w:b/>
          <w:sz w:val="28"/>
          <w:szCs w:val="28"/>
          <w:highlight w:val="none"/>
        </w:rPr>
      </w:pPr>
      <w:r>
        <w:rPr>
          <w:rFonts w:hint="eastAsia" w:ascii="仿宋" w:hAnsi="仿宋" w:eastAsia="仿宋"/>
          <w:b/>
          <w:sz w:val="28"/>
          <w:szCs w:val="28"/>
          <w:highlight w:val="none"/>
        </w:rPr>
        <w:t>二、合同价款</w:t>
      </w:r>
    </w:p>
    <w:p w14:paraId="2E0ACAD4">
      <w:pPr>
        <w:tabs>
          <w:tab w:val="left" w:pos="480"/>
        </w:tabs>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（一）合同总价款为人民币</w:t>
      </w:r>
      <w:r>
        <w:rPr>
          <w:rFonts w:ascii="仿宋" w:hAnsi="仿宋" w:eastAsia="仿宋"/>
          <w:sz w:val="28"/>
          <w:szCs w:val="28"/>
          <w:highlight w:val="none"/>
        </w:rPr>
        <w:t>(大写)</w:t>
      </w:r>
      <w:r>
        <w:rPr>
          <w:rFonts w:hint="eastAsia" w:ascii="仿宋" w:hAnsi="仿宋" w:eastAsia="仿宋"/>
          <w:sz w:val="28"/>
          <w:szCs w:val="28"/>
          <w:highlight w:val="none"/>
          <w:u w:val="single"/>
        </w:rPr>
        <w:t xml:space="preserve">           元整</w:t>
      </w:r>
      <w:r>
        <w:rPr>
          <w:rFonts w:ascii="仿宋" w:hAnsi="仿宋" w:eastAsia="仿宋"/>
          <w:sz w:val="28"/>
          <w:szCs w:val="28"/>
          <w:highlight w:val="none"/>
        </w:rPr>
        <w:t xml:space="preserve"> (小写</w:t>
      </w:r>
      <w:r>
        <w:rPr>
          <w:rFonts w:hint="eastAsia" w:ascii="仿宋" w:hAnsi="仿宋" w:eastAsia="仿宋"/>
          <w:sz w:val="28"/>
          <w:szCs w:val="28"/>
          <w:highlight w:val="none"/>
          <w:u w:val="single"/>
        </w:rPr>
        <w:t xml:space="preserve"> </w:t>
      </w:r>
      <w:r>
        <w:rPr>
          <w:rFonts w:hint="eastAsia" w:ascii="宋体" w:hAnsi="宋体" w:cs="宋体"/>
          <w:sz w:val="28"/>
          <w:szCs w:val="28"/>
          <w:highlight w:val="none"/>
          <w:u w:val="single"/>
        </w:rPr>
        <w:t>¥</w:t>
      </w:r>
      <w:r>
        <w:rPr>
          <w:rFonts w:hint="eastAsia" w:ascii="仿宋" w:hAnsi="仿宋" w:eastAsia="仿宋"/>
          <w:sz w:val="28"/>
          <w:szCs w:val="28"/>
          <w:highlight w:val="none"/>
          <w:u w:val="single"/>
        </w:rPr>
        <w:t xml:space="preserve">        </w:t>
      </w:r>
      <w:r>
        <w:rPr>
          <w:rFonts w:ascii="仿宋" w:hAnsi="仿宋" w:eastAsia="仿宋"/>
          <w:sz w:val="28"/>
          <w:szCs w:val="28"/>
          <w:highlight w:val="none"/>
        </w:rPr>
        <w:t>元)</w:t>
      </w:r>
      <w:r>
        <w:rPr>
          <w:rFonts w:hint="eastAsia" w:ascii="仿宋" w:hAnsi="仿宋" w:eastAsia="仿宋"/>
          <w:sz w:val="28"/>
          <w:szCs w:val="28"/>
          <w:highlight w:val="none"/>
        </w:rPr>
        <w:t>。</w:t>
      </w:r>
    </w:p>
    <w:p w14:paraId="57EB647A">
      <w:pPr>
        <w:tabs>
          <w:tab w:val="left" w:pos="480"/>
        </w:tabs>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（二）以上价格包含甲方采购产品所需支付的全部费用，包含产品价格、税金、包装、运输、装卸、调试费、检测费、质保期内维修保养、配件更换以及负责对接完成各项信息化接口相关事宜等费用。</w:t>
      </w:r>
    </w:p>
    <w:p w14:paraId="2F2E07A5">
      <w:pPr>
        <w:tabs>
          <w:tab w:val="left" w:pos="480"/>
        </w:tabs>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（三）合同总价一次性包死，不受市场价格变化因素的影响。</w:t>
      </w:r>
    </w:p>
    <w:p w14:paraId="17517799">
      <w:pPr>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（四）甲方除支付本合同总价外，不再支付其他任何费用。</w:t>
      </w:r>
    </w:p>
    <w:p w14:paraId="1FE63F33">
      <w:pPr>
        <w:tabs>
          <w:tab w:val="left" w:pos="480"/>
        </w:tabs>
        <w:spacing w:line="400" w:lineRule="exact"/>
        <w:ind w:firstLine="843" w:firstLineChars="300"/>
        <w:rPr>
          <w:rFonts w:ascii="仿宋" w:hAnsi="仿宋" w:eastAsia="仿宋"/>
          <w:b/>
          <w:sz w:val="28"/>
          <w:szCs w:val="28"/>
          <w:highlight w:val="none"/>
        </w:rPr>
      </w:pPr>
      <w:r>
        <w:rPr>
          <w:rFonts w:hint="eastAsia" w:ascii="仿宋" w:hAnsi="仿宋" w:eastAsia="仿宋"/>
          <w:b/>
          <w:sz w:val="28"/>
          <w:szCs w:val="28"/>
          <w:highlight w:val="none"/>
        </w:rPr>
        <w:t>三、款项支付、结算</w:t>
      </w:r>
    </w:p>
    <w:p w14:paraId="67197500">
      <w:pPr>
        <w:pStyle w:val="4"/>
        <w:ind w:firstLine="560" w:firstLineChars="200"/>
        <w:rPr>
          <w:rFonts w:ascii="仿宋" w:hAnsi="仿宋" w:eastAsia="仿宋"/>
          <w:sz w:val="28"/>
          <w:szCs w:val="28"/>
          <w:highlight w:val="none"/>
        </w:rPr>
      </w:pPr>
      <w:r>
        <w:rPr>
          <w:rFonts w:hint="eastAsia" w:ascii="仿宋" w:hAnsi="仿宋" w:eastAsia="仿宋"/>
          <w:sz w:val="28"/>
          <w:szCs w:val="28"/>
          <w:highlight w:val="none"/>
        </w:rPr>
        <w:t>（一）结算</w:t>
      </w:r>
    </w:p>
    <w:p w14:paraId="4B4F127D">
      <w:pPr>
        <w:tabs>
          <w:tab w:val="left" w:pos="480"/>
        </w:tabs>
        <w:spacing w:line="400" w:lineRule="exact"/>
        <w:ind w:firstLine="560" w:firstLineChars="200"/>
        <w:rPr>
          <w:rFonts w:ascii="仿宋" w:hAnsi="仿宋" w:eastAsia="仿宋"/>
          <w:bCs/>
          <w:sz w:val="28"/>
          <w:szCs w:val="28"/>
          <w:highlight w:val="none"/>
        </w:rPr>
      </w:pPr>
      <w:r>
        <w:rPr>
          <w:rFonts w:hint="eastAsia" w:ascii="仿宋" w:hAnsi="仿宋" w:eastAsia="仿宋"/>
          <w:sz w:val="28"/>
          <w:szCs w:val="28"/>
          <w:highlight w:val="none"/>
        </w:rPr>
        <w:t>所有货物到达甲方指定地点，安装、调试完毕、验收合格后，乙方持本合同总价款的全额增</w:t>
      </w:r>
      <w:r>
        <w:rPr>
          <w:rFonts w:hint="eastAsia" w:ascii="仿宋" w:hAnsi="仿宋" w:eastAsia="仿宋"/>
          <w:bCs/>
          <w:sz w:val="28"/>
          <w:szCs w:val="28"/>
          <w:highlight w:val="none"/>
        </w:rPr>
        <w:t>值税发票、本合同、安装培训单及验收单到甲方办理资金结算。</w:t>
      </w:r>
    </w:p>
    <w:p w14:paraId="011E0935">
      <w:pPr>
        <w:pStyle w:val="4"/>
        <w:ind w:firstLine="560" w:firstLineChars="200"/>
        <w:rPr>
          <w:rFonts w:ascii="仿宋" w:hAnsi="仿宋" w:eastAsia="仿宋"/>
          <w:sz w:val="28"/>
          <w:szCs w:val="28"/>
          <w:highlight w:val="none"/>
        </w:rPr>
      </w:pPr>
      <w:r>
        <w:rPr>
          <w:rFonts w:hint="eastAsia" w:ascii="仿宋" w:hAnsi="仿宋" w:eastAsia="仿宋"/>
          <w:sz w:val="28"/>
          <w:szCs w:val="28"/>
          <w:highlight w:val="none"/>
        </w:rPr>
        <w:t>（二）支付</w:t>
      </w:r>
    </w:p>
    <w:p w14:paraId="1169BBAD">
      <w:pPr>
        <w:widowControl/>
        <w:autoSpaceDE w:val="0"/>
        <w:autoSpaceDN w:val="0"/>
        <w:spacing w:line="400" w:lineRule="exact"/>
        <w:ind w:right="-33" w:firstLine="560" w:firstLineChars="200"/>
        <w:textAlignment w:val="bottom"/>
        <w:rPr>
          <w:rFonts w:ascii="仿宋" w:hAnsi="仿宋" w:eastAsia="仿宋"/>
          <w:sz w:val="28"/>
          <w:szCs w:val="28"/>
          <w:highlight w:val="none"/>
        </w:rPr>
      </w:pPr>
      <w:r>
        <w:rPr>
          <w:rFonts w:hint="eastAsia" w:ascii="仿宋" w:hAnsi="仿宋" w:eastAsia="仿宋"/>
          <w:sz w:val="28"/>
          <w:szCs w:val="28"/>
          <w:highlight w:val="none"/>
        </w:rPr>
        <w:t>（1）结算后60个日历日内支付本合同总价款的</w:t>
      </w:r>
      <w:r>
        <w:rPr>
          <w:rFonts w:hint="eastAsia" w:ascii="仿宋" w:hAnsi="仿宋" w:eastAsia="仿宋"/>
          <w:sz w:val="28"/>
          <w:szCs w:val="28"/>
          <w:highlight w:val="none"/>
          <w:u w:val="single"/>
        </w:rPr>
        <w:t xml:space="preserve">   </w:t>
      </w:r>
      <w:r>
        <w:rPr>
          <w:rFonts w:hint="eastAsia" w:ascii="仿宋" w:hAnsi="仿宋" w:eastAsia="仿宋"/>
          <w:sz w:val="28"/>
          <w:szCs w:val="28"/>
          <w:highlight w:val="none"/>
        </w:rPr>
        <w:t>％，即人民币（大写</w:t>
      </w:r>
      <w:r>
        <w:rPr>
          <w:rFonts w:hint="eastAsia" w:ascii="仿宋" w:hAnsi="仿宋" w:eastAsia="仿宋"/>
          <w:sz w:val="28"/>
          <w:szCs w:val="28"/>
          <w:highlight w:val="none"/>
          <w:u w:val="single"/>
        </w:rPr>
        <w:t xml:space="preserve">       </w:t>
      </w:r>
      <w:r>
        <w:rPr>
          <w:rFonts w:hint="eastAsia" w:ascii="仿宋" w:hAnsi="仿宋" w:eastAsia="仿宋"/>
          <w:sz w:val="28"/>
          <w:szCs w:val="28"/>
          <w:highlight w:val="none"/>
        </w:rPr>
        <w:t>）</w:t>
      </w:r>
      <w:r>
        <w:rPr>
          <w:rFonts w:hint="eastAsia" w:ascii="仿宋" w:hAnsi="仿宋" w:eastAsia="仿宋"/>
          <w:sz w:val="28"/>
          <w:szCs w:val="28"/>
          <w:highlight w:val="none"/>
          <w:u w:val="single"/>
        </w:rPr>
        <w:t>（小写</w:t>
      </w:r>
      <w:r>
        <w:rPr>
          <w:rFonts w:hint="eastAsia" w:ascii="宋体" w:hAnsi="宋体" w:cs="宋体"/>
          <w:sz w:val="28"/>
          <w:szCs w:val="28"/>
          <w:highlight w:val="none"/>
          <w:u w:val="single"/>
        </w:rPr>
        <w:t xml:space="preserve">¥       </w:t>
      </w:r>
      <w:r>
        <w:rPr>
          <w:rFonts w:hint="eastAsia" w:ascii="仿宋" w:hAnsi="仿宋" w:eastAsia="仿宋"/>
          <w:sz w:val="28"/>
          <w:szCs w:val="28"/>
          <w:highlight w:val="none"/>
          <w:u w:val="single"/>
        </w:rPr>
        <w:t>元</w:t>
      </w:r>
      <w:r>
        <w:rPr>
          <w:rFonts w:hint="eastAsia" w:ascii="仿宋" w:hAnsi="仿宋" w:eastAsia="仿宋"/>
          <w:sz w:val="28"/>
          <w:szCs w:val="28"/>
          <w:highlight w:val="none"/>
        </w:rPr>
        <w:t>）。</w:t>
      </w:r>
    </w:p>
    <w:p w14:paraId="54FEF95D">
      <w:pPr>
        <w:widowControl/>
        <w:autoSpaceDE w:val="0"/>
        <w:autoSpaceDN w:val="0"/>
        <w:spacing w:line="400" w:lineRule="exact"/>
        <w:ind w:right="-33" w:firstLine="560" w:firstLineChars="200"/>
        <w:textAlignment w:val="bottom"/>
        <w:rPr>
          <w:rFonts w:ascii="仿宋" w:hAnsi="仿宋" w:eastAsia="仿宋"/>
          <w:sz w:val="28"/>
          <w:szCs w:val="28"/>
          <w:highlight w:val="none"/>
        </w:rPr>
      </w:pPr>
      <w:r>
        <w:rPr>
          <w:rFonts w:hint="eastAsia" w:ascii="仿宋" w:hAnsi="仿宋" w:eastAsia="仿宋"/>
          <w:sz w:val="28"/>
          <w:szCs w:val="28"/>
          <w:highlight w:val="none"/>
        </w:rPr>
        <w:t>（2）其他消耗类货物：</w:t>
      </w:r>
      <w:r>
        <w:rPr>
          <w:rFonts w:hint="eastAsia" w:ascii="仿宋" w:hAnsi="仿宋" w:eastAsia="仿宋"/>
          <w:sz w:val="28"/>
          <w:szCs w:val="28"/>
          <w:highlight w:val="none"/>
          <w:lang w:val="en-US" w:eastAsia="zh-CN"/>
        </w:rPr>
        <w:t>每月25号前，按实际供货量据实结算，甲方收到乙方合格发票后90日后，一次性按发票金额付款</w:t>
      </w:r>
      <w:r>
        <w:rPr>
          <w:rFonts w:hint="eastAsia" w:ascii="仿宋" w:hAnsi="仿宋" w:eastAsia="仿宋"/>
          <w:sz w:val="28"/>
          <w:szCs w:val="28"/>
          <w:highlight w:val="none"/>
        </w:rPr>
        <w:t>。</w:t>
      </w:r>
    </w:p>
    <w:p w14:paraId="7E36C325">
      <w:pPr>
        <w:pStyle w:val="4"/>
        <w:ind w:firstLine="560" w:firstLineChars="200"/>
        <w:rPr>
          <w:rFonts w:ascii="仿宋" w:hAnsi="仿宋" w:eastAsia="仿宋"/>
          <w:sz w:val="28"/>
          <w:szCs w:val="28"/>
          <w:highlight w:val="none"/>
        </w:rPr>
      </w:pPr>
      <w:r>
        <w:rPr>
          <w:rFonts w:hint="eastAsia" w:ascii="仿宋" w:hAnsi="仿宋" w:eastAsia="仿宋"/>
          <w:sz w:val="28"/>
          <w:szCs w:val="28"/>
          <w:highlight w:val="none"/>
        </w:rPr>
        <w:t>（3）特殊货物类合同，按照招标文件付款方式执行。</w:t>
      </w:r>
    </w:p>
    <w:p w14:paraId="3A70E059">
      <w:pPr>
        <w:pStyle w:val="4"/>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（三）付款方式：</w:t>
      </w:r>
    </w:p>
    <w:p w14:paraId="08C7E2F9">
      <w:pPr>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甲方通过银行转账方式将款项转入乙方指定银行账户。乙方指定银行账户信息如下：</w:t>
      </w:r>
    </w:p>
    <w:p w14:paraId="3747563E">
      <w:pPr>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账户全称：</w:t>
      </w:r>
    </w:p>
    <w:p w14:paraId="5C73E5A1">
      <w:pPr>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账    号：</w:t>
      </w:r>
    </w:p>
    <w:p w14:paraId="0283E1F6">
      <w:pPr>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开 户 行：</w:t>
      </w:r>
    </w:p>
    <w:p w14:paraId="2B695640">
      <w:pPr>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甲方仅认可上述指定账户并向该账户付款。甲方有权拒绝向指定账户之外的任何账户付款，由此导致的付款延迟责任由乙方承担。</w:t>
      </w:r>
    </w:p>
    <w:p w14:paraId="75215FB8">
      <w:pPr>
        <w:tabs>
          <w:tab w:val="left" w:pos="480"/>
        </w:tabs>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若因乙方开具发票出现税务争议的，乙方应承担税款、滞纳金、罚款等赔偿责任以及其他相关责任。</w:t>
      </w:r>
    </w:p>
    <w:p w14:paraId="1844EA4B">
      <w:pPr>
        <w:tabs>
          <w:tab w:val="left" w:pos="480"/>
        </w:tabs>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（四）履约保证金：乙方在合同签订前向甲方指定账户交纳履约保证金，为合同总价款5%，即</w:t>
      </w:r>
      <w:r>
        <w:rPr>
          <w:rFonts w:ascii="仿宋" w:hAnsi="仿宋" w:eastAsia="仿宋"/>
          <w:sz w:val="28"/>
          <w:szCs w:val="28"/>
          <w:highlight w:val="none"/>
        </w:rPr>
        <w:t>人民币(大写)</w:t>
      </w:r>
      <w:r>
        <w:rPr>
          <w:rFonts w:hint="eastAsia" w:ascii="仿宋" w:hAnsi="仿宋" w:eastAsia="仿宋"/>
          <w:sz w:val="28"/>
          <w:szCs w:val="28"/>
          <w:highlight w:val="none"/>
          <w:u w:val="single"/>
        </w:rPr>
        <w:t xml:space="preserve">       元整</w:t>
      </w:r>
      <w:r>
        <w:rPr>
          <w:rFonts w:ascii="仿宋" w:hAnsi="仿宋" w:eastAsia="仿宋"/>
          <w:sz w:val="28"/>
          <w:szCs w:val="28"/>
          <w:highlight w:val="none"/>
        </w:rPr>
        <w:t xml:space="preserve"> (</w:t>
      </w:r>
      <w:r>
        <w:rPr>
          <w:rFonts w:hint="eastAsia" w:ascii="仿宋" w:hAnsi="仿宋" w:eastAsia="仿宋"/>
          <w:sz w:val="28"/>
          <w:szCs w:val="28"/>
          <w:highlight w:val="none"/>
          <w:u w:val="single"/>
        </w:rPr>
        <w:t xml:space="preserve"> </w:t>
      </w:r>
      <w:r>
        <w:rPr>
          <w:rFonts w:hint="eastAsia" w:ascii="宋体" w:hAnsi="宋体" w:cs="宋体"/>
          <w:sz w:val="28"/>
          <w:szCs w:val="28"/>
          <w:highlight w:val="none"/>
          <w:u w:val="single"/>
        </w:rPr>
        <w:t>¥</w:t>
      </w:r>
      <w:r>
        <w:rPr>
          <w:rFonts w:hint="eastAsia" w:ascii="仿宋" w:hAnsi="仿宋" w:eastAsia="仿宋"/>
          <w:sz w:val="28"/>
          <w:szCs w:val="28"/>
          <w:highlight w:val="none"/>
          <w:u w:val="single"/>
        </w:rPr>
        <w:t xml:space="preserve">     </w:t>
      </w:r>
      <w:r>
        <w:rPr>
          <w:rFonts w:ascii="仿宋" w:hAnsi="仿宋" w:eastAsia="仿宋"/>
          <w:sz w:val="28"/>
          <w:szCs w:val="28"/>
          <w:highlight w:val="none"/>
        </w:rPr>
        <w:t>元)</w:t>
      </w:r>
      <w:r>
        <w:rPr>
          <w:rFonts w:hint="eastAsia" w:ascii="仿宋" w:hAnsi="仿宋" w:eastAsia="仿宋"/>
          <w:sz w:val="28"/>
          <w:szCs w:val="28"/>
          <w:highlight w:val="none"/>
        </w:rPr>
        <w:t>。质保期限届满后，在扣除相关款项后（若有），剩余部分无息返还。</w:t>
      </w:r>
    </w:p>
    <w:p w14:paraId="40162006">
      <w:pPr>
        <w:tabs>
          <w:tab w:val="left" w:pos="480"/>
        </w:tabs>
        <w:spacing w:line="400" w:lineRule="exact"/>
        <w:ind w:firstLine="562" w:firstLineChars="200"/>
        <w:rPr>
          <w:rFonts w:ascii="仿宋" w:hAnsi="仿宋" w:eastAsia="仿宋"/>
          <w:b/>
          <w:sz w:val="28"/>
          <w:szCs w:val="28"/>
          <w:highlight w:val="none"/>
        </w:rPr>
      </w:pPr>
      <w:r>
        <w:rPr>
          <w:rFonts w:hint="eastAsia" w:ascii="仿宋" w:hAnsi="仿宋" w:eastAsia="仿宋"/>
          <w:b/>
          <w:sz w:val="28"/>
          <w:szCs w:val="28"/>
          <w:highlight w:val="none"/>
        </w:rPr>
        <w:t>四、双方的权利和义务</w:t>
      </w:r>
    </w:p>
    <w:p w14:paraId="23E1286B">
      <w:pPr>
        <w:spacing w:line="400" w:lineRule="exact"/>
        <w:ind w:firstLine="280" w:firstLineChars="100"/>
        <w:rPr>
          <w:rFonts w:ascii="仿宋" w:hAnsi="仿宋" w:eastAsia="仿宋"/>
          <w:sz w:val="28"/>
          <w:szCs w:val="28"/>
          <w:highlight w:val="none"/>
        </w:rPr>
      </w:pPr>
      <w:r>
        <w:rPr>
          <w:rFonts w:hint="eastAsia" w:ascii="仿宋" w:hAnsi="仿宋" w:eastAsia="仿宋"/>
          <w:sz w:val="28"/>
          <w:szCs w:val="28"/>
          <w:highlight w:val="none"/>
        </w:rPr>
        <w:t>（一）甲方的权利和义务</w:t>
      </w:r>
    </w:p>
    <w:p w14:paraId="43527912">
      <w:pPr>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1. 甲方有权依据招投标文件、国家标准或行业标准、技术指标等对该产品/设备进行验收，达不到标准的，甲方有权解除本合同，合同自甲方书面解除通知到达乙方时解除，乙方应承担违约责任，并赔偿甲方的损失。</w:t>
      </w:r>
    </w:p>
    <w:p w14:paraId="5A1620ED">
      <w:pPr>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2. 质保期限届满后,甲方有权继续享用乙方提供的优惠条件。</w:t>
      </w:r>
    </w:p>
    <w:p w14:paraId="0C0B7F38">
      <w:pPr>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3. 质保期限届满后,甲方享有乙方产品/设备维修只收取材料费,工时费全免的权利。</w:t>
      </w:r>
    </w:p>
    <w:p w14:paraId="0C928096">
      <w:pPr>
        <w:spacing w:line="400" w:lineRule="exact"/>
        <w:rPr>
          <w:rFonts w:ascii="仿宋" w:hAnsi="仿宋" w:eastAsia="仿宋"/>
          <w:sz w:val="28"/>
          <w:szCs w:val="28"/>
          <w:highlight w:val="none"/>
        </w:rPr>
      </w:pPr>
      <w:r>
        <w:rPr>
          <w:rFonts w:hint="eastAsia" w:ascii="仿宋" w:hAnsi="仿宋" w:eastAsia="仿宋"/>
          <w:sz w:val="28"/>
          <w:szCs w:val="28"/>
          <w:highlight w:val="none"/>
        </w:rPr>
        <w:t xml:space="preserve">    4. 质保期限届满后,甲方享有乙方消耗品只收取成本费,其他费用全免的权利。 </w:t>
      </w:r>
    </w:p>
    <w:p w14:paraId="52B20C44">
      <w:pPr>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5. 甲方应按本合同的约定付款。</w:t>
      </w:r>
    </w:p>
    <w:p w14:paraId="310CB5C1">
      <w:pPr>
        <w:spacing w:line="400" w:lineRule="exact"/>
        <w:ind w:firstLine="280" w:firstLineChars="100"/>
        <w:rPr>
          <w:rFonts w:ascii="仿宋" w:hAnsi="仿宋" w:eastAsia="仿宋"/>
          <w:sz w:val="28"/>
          <w:szCs w:val="28"/>
          <w:highlight w:val="none"/>
        </w:rPr>
      </w:pPr>
      <w:r>
        <w:rPr>
          <w:rFonts w:hint="eastAsia" w:ascii="仿宋" w:hAnsi="仿宋" w:eastAsia="仿宋"/>
          <w:sz w:val="28"/>
          <w:szCs w:val="28"/>
          <w:highlight w:val="none"/>
        </w:rPr>
        <w:t>（二）乙方的权利和义务</w:t>
      </w:r>
    </w:p>
    <w:p w14:paraId="6A70968C">
      <w:pPr>
        <w:tabs>
          <w:tab w:val="left" w:pos="480"/>
        </w:tabs>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1.乙方提供的产品/设备必须设计科学、技术成熟、工艺精良，必须是生产厂商原厂生产的、全新未开封的，必须符合国家标准（包括强制性标准及推荐标准）、行业标准、企业标准及相应的技术规范要求中要求最高的标准。</w:t>
      </w:r>
    </w:p>
    <w:p w14:paraId="57C507DB">
      <w:pPr>
        <w:tabs>
          <w:tab w:val="left" w:pos="480"/>
        </w:tabs>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2.乙方提供的产品/设备等的设计、技术、外型、应用软件等均应符合我国的有关法律、知识产权及行业标准，凡因以上问题与第三方发生任何纠纷的，均由乙方承担责任，与甲方无关。若导致甲方承担的，乙方应承担违约责任，并赔偿甲方的损失，包括但不限于甲方因此承担的责任、甲方的维权费用等。</w:t>
      </w:r>
    </w:p>
    <w:p w14:paraId="451B7292">
      <w:pPr>
        <w:tabs>
          <w:tab w:val="left" w:pos="480"/>
        </w:tabs>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3. 乙方应提供安全可靠的产品/设备，应通过生产厂检验，并应提供质量合格证书；在正常使用下不应对操作者等任何人造成伤害，如因产品/设备质量瑕疵或标示不明确等原因造成人身损害、财产损失的，乙方应承担所有责任，并应赔偿甲方的损失。</w:t>
      </w:r>
    </w:p>
    <w:p w14:paraId="0874DF72">
      <w:pPr>
        <w:tabs>
          <w:tab w:val="left" w:pos="480"/>
        </w:tabs>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4.有强制性安全标准的产品/设备，乙方应提供该产品/设备的制造许可证。</w:t>
      </w:r>
    </w:p>
    <w:p w14:paraId="2907657D">
      <w:pPr>
        <w:tabs>
          <w:tab w:val="left" w:pos="480"/>
        </w:tabs>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5.乙方有义务就本合同所购产品/设备对甲方提供免费咨询服务，并免费培训甲方人员的操作使用。</w:t>
      </w:r>
    </w:p>
    <w:p w14:paraId="37B8E911">
      <w:pPr>
        <w:tabs>
          <w:tab w:val="left" w:pos="480"/>
        </w:tabs>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6.乙方免费提供产品/设备软件终身升级和更新。</w:t>
      </w:r>
    </w:p>
    <w:p w14:paraId="7663A2B1">
      <w:pPr>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7. 乙方解决产品/设备故障的期限严格按照投标文件中各项货物的参数执行；故障</w:t>
      </w:r>
      <w:r>
        <w:rPr>
          <w:rFonts w:ascii="仿宋" w:hAnsi="仿宋" w:eastAsia="仿宋"/>
          <w:sz w:val="28"/>
          <w:szCs w:val="28"/>
          <w:highlight w:val="none"/>
        </w:rPr>
        <w:t>维修响应时间</w:t>
      </w:r>
      <w:r>
        <w:rPr>
          <w:rFonts w:hint="eastAsia" w:ascii="仿宋" w:hAnsi="仿宋" w:eastAsia="仿宋"/>
          <w:sz w:val="28"/>
          <w:szCs w:val="28"/>
          <w:highlight w:val="none"/>
        </w:rPr>
        <w:t>不得超过</w:t>
      </w:r>
      <w:r>
        <w:rPr>
          <w:rFonts w:hint="eastAsia" w:ascii="仿宋" w:hAnsi="仿宋" w:eastAsia="仿宋"/>
          <w:sz w:val="28"/>
          <w:szCs w:val="28"/>
          <w:highlight w:val="none"/>
          <w:u w:val="single"/>
        </w:rPr>
        <w:t xml:space="preserve">   </w:t>
      </w:r>
      <w:r>
        <w:rPr>
          <w:rFonts w:hint="eastAsia" w:ascii="仿宋" w:hAnsi="仿宋" w:eastAsia="仿宋"/>
          <w:sz w:val="28"/>
          <w:szCs w:val="28"/>
          <w:highlight w:val="none"/>
        </w:rPr>
        <w:t>小时；</w:t>
      </w:r>
      <w:r>
        <w:rPr>
          <w:rFonts w:hint="eastAsia" w:ascii="仿宋" w:hAnsi="仿宋" w:eastAsia="仿宋"/>
          <w:sz w:val="28"/>
          <w:szCs w:val="28"/>
          <w:highlight w:val="none"/>
          <w:u w:val="single"/>
        </w:rPr>
        <w:t xml:space="preserve">  </w:t>
      </w:r>
      <w:r>
        <w:rPr>
          <w:rFonts w:ascii="仿宋" w:hAnsi="仿宋" w:eastAsia="仿宋"/>
          <w:sz w:val="28"/>
          <w:szCs w:val="28"/>
          <w:highlight w:val="none"/>
        </w:rPr>
        <w:t>小时内</w:t>
      </w:r>
      <w:r>
        <w:rPr>
          <w:rFonts w:hint="eastAsia" w:ascii="仿宋" w:hAnsi="仿宋" w:eastAsia="仿宋"/>
          <w:sz w:val="28"/>
          <w:szCs w:val="28"/>
          <w:highlight w:val="none"/>
        </w:rPr>
        <w:t>乙方</w:t>
      </w:r>
      <w:r>
        <w:rPr>
          <w:rFonts w:ascii="仿宋" w:hAnsi="仿宋" w:eastAsia="仿宋"/>
          <w:sz w:val="28"/>
          <w:szCs w:val="28"/>
          <w:highlight w:val="none"/>
        </w:rPr>
        <w:t>维修工程师</w:t>
      </w:r>
      <w:r>
        <w:rPr>
          <w:rFonts w:hint="eastAsia" w:ascii="仿宋" w:hAnsi="仿宋" w:eastAsia="仿宋"/>
          <w:sz w:val="28"/>
          <w:szCs w:val="28"/>
          <w:highlight w:val="none"/>
        </w:rPr>
        <w:t>必须</w:t>
      </w:r>
      <w:r>
        <w:rPr>
          <w:rFonts w:ascii="仿宋" w:hAnsi="仿宋" w:eastAsia="仿宋"/>
          <w:sz w:val="28"/>
          <w:szCs w:val="28"/>
          <w:highlight w:val="none"/>
        </w:rPr>
        <w:t>到达现场</w:t>
      </w:r>
      <w:r>
        <w:rPr>
          <w:rFonts w:hint="eastAsia" w:ascii="仿宋" w:hAnsi="仿宋" w:eastAsia="仿宋"/>
          <w:sz w:val="28"/>
          <w:szCs w:val="28"/>
          <w:highlight w:val="none"/>
        </w:rPr>
        <w:t>；</w:t>
      </w:r>
      <w:r>
        <w:rPr>
          <w:rFonts w:ascii="仿宋" w:hAnsi="仿宋" w:eastAsia="仿宋"/>
          <w:sz w:val="28"/>
          <w:szCs w:val="28"/>
          <w:highlight w:val="none"/>
        </w:rPr>
        <w:t>排除故障不得超过</w:t>
      </w:r>
      <w:r>
        <w:rPr>
          <w:rFonts w:hint="eastAsia" w:ascii="仿宋" w:hAnsi="仿宋" w:eastAsia="仿宋"/>
          <w:sz w:val="28"/>
          <w:szCs w:val="28"/>
          <w:highlight w:val="none"/>
          <w:u w:val="single"/>
        </w:rPr>
        <w:t xml:space="preserve">   </w:t>
      </w:r>
      <w:r>
        <w:rPr>
          <w:rFonts w:hint="eastAsia" w:ascii="仿宋" w:hAnsi="仿宋" w:eastAsia="仿宋"/>
          <w:sz w:val="28"/>
          <w:szCs w:val="28"/>
          <w:highlight w:val="none"/>
        </w:rPr>
        <w:t>个工作日；逾期未排除故障的，</w:t>
      </w:r>
      <w:r>
        <w:rPr>
          <w:rFonts w:ascii="仿宋" w:hAnsi="仿宋" w:eastAsia="仿宋"/>
          <w:sz w:val="28"/>
          <w:szCs w:val="28"/>
          <w:highlight w:val="none"/>
        </w:rPr>
        <w:t>乙方</w:t>
      </w:r>
      <w:r>
        <w:rPr>
          <w:rFonts w:hint="eastAsia" w:ascii="仿宋" w:hAnsi="仿宋" w:eastAsia="仿宋"/>
          <w:sz w:val="28"/>
          <w:szCs w:val="28"/>
          <w:highlight w:val="none"/>
        </w:rPr>
        <w:t>必须</w:t>
      </w:r>
      <w:r>
        <w:rPr>
          <w:rFonts w:ascii="仿宋" w:hAnsi="仿宋" w:eastAsia="仿宋"/>
          <w:sz w:val="28"/>
          <w:szCs w:val="28"/>
          <w:highlight w:val="none"/>
        </w:rPr>
        <w:t>提供备用</w:t>
      </w:r>
      <w:r>
        <w:rPr>
          <w:rFonts w:hint="eastAsia" w:ascii="仿宋" w:hAnsi="仿宋" w:eastAsia="仿宋"/>
          <w:sz w:val="28"/>
          <w:szCs w:val="28"/>
          <w:highlight w:val="none"/>
        </w:rPr>
        <w:t>货物，并向甲方支付违约金</w:t>
      </w:r>
      <w:r>
        <w:rPr>
          <w:rFonts w:hint="eastAsia" w:ascii="仿宋" w:hAnsi="仿宋" w:eastAsia="仿宋"/>
          <w:sz w:val="28"/>
          <w:szCs w:val="28"/>
          <w:highlight w:val="none"/>
          <w:u w:val="single"/>
        </w:rPr>
        <w:t xml:space="preserve">    </w:t>
      </w:r>
      <w:r>
        <w:rPr>
          <w:rFonts w:hint="eastAsia" w:ascii="仿宋" w:hAnsi="仿宋" w:eastAsia="仿宋"/>
          <w:sz w:val="28"/>
          <w:szCs w:val="28"/>
          <w:highlight w:val="none"/>
        </w:rPr>
        <w:t>元/天，违约金可按天累计，且甲方有权指定第三方维修，维修费用由乙方承担。上述违约金和第三方维修费用甲方可优先从履约保证金中扣</w:t>
      </w:r>
      <w:r>
        <w:rPr>
          <w:rFonts w:hint="eastAsia" w:ascii="仿宋" w:hAnsi="仿宋" w:eastAsia="仿宋" w:cs="宋体"/>
          <w:sz w:val="28"/>
          <w:szCs w:val="28"/>
          <w:highlight w:val="none"/>
        </w:rPr>
        <w:t>减</w:t>
      </w:r>
      <w:r>
        <w:rPr>
          <w:rFonts w:hint="eastAsia" w:ascii="仿宋" w:hAnsi="仿宋" w:eastAsia="仿宋"/>
          <w:sz w:val="28"/>
          <w:szCs w:val="28"/>
          <w:highlight w:val="none"/>
        </w:rPr>
        <w:t>。</w:t>
      </w:r>
    </w:p>
    <w:p w14:paraId="766719E6">
      <w:pPr>
        <w:tabs>
          <w:tab w:val="left" w:pos="480"/>
        </w:tabs>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8.乙方应向甲方提交项目实施过程中的所有资料。</w:t>
      </w:r>
    </w:p>
    <w:p w14:paraId="0374982D">
      <w:pPr>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9.双方拟定的其他条款。</w:t>
      </w:r>
    </w:p>
    <w:p w14:paraId="5EC38DCC">
      <w:pPr>
        <w:pStyle w:val="4"/>
        <w:rPr>
          <w:rFonts w:ascii="仿宋" w:hAnsi="仿宋" w:eastAsia="仿宋"/>
          <w:sz w:val="28"/>
          <w:szCs w:val="28"/>
          <w:highlight w:val="none"/>
        </w:rPr>
      </w:pPr>
      <w:r>
        <w:rPr>
          <w:rFonts w:hint="eastAsia" w:ascii="仿宋" w:hAnsi="仿宋" w:eastAsia="仿宋"/>
          <w:sz w:val="28"/>
          <w:szCs w:val="28"/>
          <w:highlight w:val="none"/>
        </w:rPr>
        <w:t>国家法律、法规等规定的应由乙方承担的其它责任。</w:t>
      </w:r>
    </w:p>
    <w:p w14:paraId="692BFBE4">
      <w:pPr>
        <w:pStyle w:val="3"/>
        <w:spacing w:line="400" w:lineRule="exact"/>
        <w:ind w:firstLine="560" w:firstLineChars="200"/>
        <w:rPr>
          <w:rFonts w:ascii="仿宋" w:hAnsi="仿宋"/>
          <w:sz w:val="28"/>
          <w:szCs w:val="28"/>
          <w:highlight w:val="none"/>
        </w:rPr>
      </w:pPr>
      <w:r>
        <w:rPr>
          <w:rFonts w:hint="eastAsia" w:ascii="仿宋" w:hAnsi="仿宋"/>
          <w:sz w:val="28"/>
          <w:szCs w:val="28"/>
          <w:highlight w:val="none"/>
        </w:rPr>
        <w:t>乙方按照招标、投标文件要求，向甲方提供的其他技术支持服务。</w:t>
      </w:r>
      <w:r>
        <w:rPr>
          <w:rFonts w:hint="eastAsia" w:ascii="仿宋" w:hAnsi="仿宋"/>
          <w:b/>
          <w:color w:val="FF0000"/>
          <w:sz w:val="28"/>
          <w:szCs w:val="28"/>
          <w:highlight w:val="none"/>
        </w:rPr>
        <w:t>（由双方协商，必须填写）</w:t>
      </w:r>
    </w:p>
    <w:p w14:paraId="738A3165">
      <w:pPr>
        <w:spacing w:line="400" w:lineRule="exact"/>
        <w:ind w:firstLine="482" w:firstLineChars="200"/>
        <w:rPr>
          <w:rFonts w:ascii="仿宋" w:hAnsi="仿宋" w:eastAsia="仿宋"/>
          <w:b/>
          <w:bCs/>
          <w:color w:val="000000"/>
          <w:spacing w:val="-20"/>
          <w:kern w:val="0"/>
          <w:sz w:val="28"/>
          <w:szCs w:val="28"/>
          <w:highlight w:val="none"/>
        </w:rPr>
      </w:pPr>
      <w:r>
        <w:rPr>
          <w:rFonts w:hint="eastAsia" w:ascii="仿宋" w:hAnsi="仿宋" w:eastAsia="仿宋"/>
          <w:b/>
          <w:bCs/>
          <w:color w:val="000000"/>
          <w:spacing w:val="-20"/>
          <w:kern w:val="0"/>
          <w:sz w:val="28"/>
          <w:szCs w:val="28"/>
          <w:highlight w:val="none"/>
        </w:rPr>
        <w:t>五、质量保证</w:t>
      </w:r>
    </w:p>
    <w:p w14:paraId="08CF5335">
      <w:pPr>
        <w:tabs>
          <w:tab w:val="left" w:pos="480"/>
        </w:tabs>
        <w:spacing w:line="400" w:lineRule="exact"/>
        <w:ind w:left="-69" w:leftChars="-33" w:firstLine="560" w:firstLineChars="200"/>
        <w:rPr>
          <w:rFonts w:ascii="仿宋" w:hAnsi="仿宋" w:eastAsia="仿宋"/>
          <w:sz w:val="28"/>
          <w:szCs w:val="28"/>
          <w:highlight w:val="none"/>
        </w:rPr>
      </w:pPr>
      <w:r>
        <w:rPr>
          <w:rFonts w:hint="eastAsia" w:ascii="仿宋" w:hAnsi="仿宋" w:eastAsia="仿宋"/>
          <w:sz w:val="28"/>
          <w:szCs w:val="28"/>
          <w:highlight w:val="none"/>
        </w:rPr>
        <w:t>质保期：</w:t>
      </w:r>
      <w:r>
        <w:rPr>
          <w:rFonts w:hint="eastAsia" w:ascii="仿宋" w:hAnsi="仿宋" w:eastAsia="仿宋"/>
          <w:sz w:val="28"/>
          <w:szCs w:val="28"/>
          <w:highlight w:val="none"/>
          <w:u w:val="single"/>
        </w:rPr>
        <w:t xml:space="preserve">    </w:t>
      </w:r>
      <w:r>
        <w:rPr>
          <w:rFonts w:hint="eastAsia" w:ascii="仿宋" w:hAnsi="仿宋" w:eastAsia="仿宋"/>
          <w:sz w:val="28"/>
          <w:szCs w:val="28"/>
          <w:highlight w:val="none"/>
        </w:rPr>
        <w:t>年，自甲方签发验收单之日起计算。</w:t>
      </w:r>
    </w:p>
    <w:p w14:paraId="321E8B8B">
      <w:pPr>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乙方所供产品/设备必须执行下列条款：</w:t>
      </w:r>
    </w:p>
    <w:p w14:paraId="666FB1BC">
      <w:pPr>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（一）保证所供产品/设备技术指标先进、质量性能可靠、配置合理、进货渠道正规，全面满足招标文件要求，无假货、水货或翻新货，并能按期交付。</w:t>
      </w:r>
    </w:p>
    <w:p w14:paraId="2CBD5242">
      <w:pPr>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（二）保证所供产品/设备在装卸、运输和仓储过程中有足够的包装保护，防止产品</w:t>
      </w:r>
      <w:r>
        <w:rPr>
          <w:rFonts w:hint="eastAsia" w:ascii="仿宋" w:hAnsi="仿宋" w:eastAsia="仿宋" w:cs="Calibri Light"/>
          <w:sz w:val="28"/>
          <w:szCs w:val="28"/>
          <w:highlight w:val="none"/>
        </w:rPr>
        <w:t>/</w:t>
      </w:r>
      <w:r>
        <w:rPr>
          <w:rFonts w:hint="eastAsia" w:ascii="仿宋" w:hAnsi="仿宋" w:eastAsia="仿宋"/>
          <w:sz w:val="28"/>
          <w:szCs w:val="28"/>
          <w:highlight w:val="none"/>
        </w:rPr>
        <w:t>设备受潮、锈蚀、遭受冲撞及其他不可预见的损坏。</w:t>
      </w:r>
    </w:p>
    <w:p w14:paraId="3F0929E1">
      <w:pPr>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（三）保证所供产品/设备具有良好的外观，适合各种安装场所的使用要求，确保达到最佳运行状态。</w:t>
      </w:r>
    </w:p>
    <w:p w14:paraId="2373F9F7">
      <w:pPr>
        <w:spacing w:line="400" w:lineRule="exact"/>
        <w:ind w:firstLine="560" w:firstLineChars="200"/>
        <w:rPr>
          <w:rFonts w:ascii="仿宋" w:hAnsi="仿宋" w:eastAsia="仿宋" w:cs="宋体"/>
          <w:sz w:val="28"/>
          <w:szCs w:val="28"/>
          <w:highlight w:val="none"/>
        </w:rPr>
      </w:pPr>
      <w:r>
        <w:rPr>
          <w:rFonts w:hint="eastAsia" w:ascii="仿宋" w:hAnsi="仿宋" w:eastAsia="仿宋"/>
          <w:sz w:val="28"/>
          <w:szCs w:val="28"/>
          <w:highlight w:val="none"/>
        </w:rPr>
        <w:t>（四）因产品/设备质量或设计等缺陷引发的纠纷，由乙方承担全部责任，包括但不限于</w:t>
      </w:r>
      <w:r>
        <w:rPr>
          <w:rFonts w:hint="eastAsia" w:ascii="仿宋" w:hAnsi="仿宋" w:eastAsia="仿宋" w:cs="宋体"/>
          <w:sz w:val="28"/>
          <w:szCs w:val="28"/>
          <w:highlight w:val="none"/>
        </w:rPr>
        <w:t>对甲方的全部损失、对第三人造成人身损害和财产损失等；上述赔偿，甲方可从履约保证金中直接扣除。</w:t>
      </w:r>
    </w:p>
    <w:p w14:paraId="525B6077">
      <w:pPr>
        <w:pStyle w:val="8"/>
        <w:widowControl w:val="0"/>
        <w:autoSpaceDE w:val="0"/>
        <w:autoSpaceDN w:val="0"/>
        <w:adjustRightInd w:val="0"/>
        <w:spacing w:before="0" w:after="0" w:line="400" w:lineRule="exact"/>
        <w:ind w:firstLine="560" w:firstLineChars="200"/>
        <w:jc w:val="left"/>
        <w:rPr>
          <w:rFonts w:ascii="仿宋" w:hAnsi="仿宋" w:eastAsia="仿宋" w:cs="宋体"/>
          <w:sz w:val="28"/>
          <w:szCs w:val="28"/>
          <w:highlight w:val="none"/>
          <w:lang w:eastAsia="zh-CN"/>
        </w:rPr>
      </w:pPr>
      <w:r>
        <w:rPr>
          <w:rFonts w:ascii="仿宋" w:hAnsi="仿宋" w:eastAsia="仿宋" w:cs="宋体"/>
          <w:sz w:val="28"/>
          <w:szCs w:val="28"/>
          <w:highlight w:val="none"/>
          <w:lang w:eastAsia="zh-CN"/>
        </w:rPr>
        <w:t>（</w:t>
      </w:r>
      <w:r>
        <w:rPr>
          <w:rFonts w:hint="eastAsia" w:ascii="仿宋" w:hAnsi="仿宋" w:eastAsia="仿宋" w:cs="宋体"/>
          <w:sz w:val="28"/>
          <w:szCs w:val="28"/>
          <w:highlight w:val="none"/>
          <w:lang w:val="en-US" w:eastAsia="zh-CN"/>
        </w:rPr>
        <w:t>五</w:t>
      </w:r>
      <w:r>
        <w:rPr>
          <w:rFonts w:ascii="仿宋" w:hAnsi="仿宋" w:eastAsia="仿宋" w:cs="宋体"/>
          <w:sz w:val="28"/>
          <w:szCs w:val="28"/>
          <w:highlight w:val="none"/>
          <w:lang w:eastAsia="zh-CN"/>
        </w:rPr>
        <w:t>）</w:t>
      </w:r>
      <w:r>
        <w:rPr>
          <w:rFonts w:hint="eastAsia" w:ascii="仿宋" w:hAnsi="仿宋" w:eastAsia="仿宋" w:cs="宋体"/>
          <w:sz w:val="28"/>
          <w:szCs w:val="28"/>
          <w:highlight w:val="none"/>
          <w:lang w:val="en-US" w:eastAsia="zh-CN"/>
        </w:rPr>
        <w:t>乙方应安全</w:t>
      </w:r>
      <w:r>
        <w:rPr>
          <w:rFonts w:ascii="仿宋" w:hAnsi="仿宋" w:eastAsia="仿宋" w:cs="宋体"/>
          <w:sz w:val="28"/>
          <w:szCs w:val="28"/>
          <w:highlight w:val="none"/>
          <w:lang w:eastAsia="zh-CN"/>
        </w:rPr>
        <w:t>施工</w:t>
      </w:r>
      <w:r>
        <w:rPr>
          <w:rFonts w:hint="eastAsia" w:ascii="仿宋" w:hAnsi="仿宋" w:eastAsia="仿宋" w:cs="宋体"/>
          <w:sz w:val="28"/>
          <w:szCs w:val="28"/>
          <w:highlight w:val="none"/>
          <w:lang w:eastAsia="zh-CN"/>
        </w:rPr>
        <w:t>，</w:t>
      </w:r>
      <w:r>
        <w:rPr>
          <w:rFonts w:hint="eastAsia" w:ascii="仿宋" w:hAnsi="仿宋" w:eastAsia="仿宋" w:cs="宋体"/>
          <w:sz w:val="28"/>
          <w:szCs w:val="28"/>
          <w:highlight w:val="none"/>
          <w:lang w:val="en-US" w:eastAsia="zh-CN"/>
        </w:rPr>
        <w:t>施工</w:t>
      </w:r>
      <w:r>
        <w:rPr>
          <w:rFonts w:ascii="仿宋" w:hAnsi="仿宋" w:eastAsia="仿宋" w:cs="宋体"/>
          <w:sz w:val="28"/>
          <w:szCs w:val="28"/>
          <w:highlight w:val="none"/>
          <w:lang w:eastAsia="zh-CN"/>
        </w:rPr>
        <w:t>的安全责任及造成的损失</w:t>
      </w:r>
      <w:r>
        <w:rPr>
          <w:rFonts w:hint="eastAsia" w:ascii="仿宋" w:hAnsi="仿宋" w:eastAsia="仿宋" w:cs="宋体"/>
          <w:sz w:val="28"/>
          <w:szCs w:val="28"/>
          <w:highlight w:val="none"/>
          <w:lang w:val="en-US" w:eastAsia="zh-CN"/>
        </w:rPr>
        <w:t>均</w:t>
      </w:r>
      <w:r>
        <w:rPr>
          <w:rFonts w:ascii="仿宋" w:hAnsi="仿宋" w:eastAsia="仿宋" w:cs="宋体"/>
          <w:sz w:val="28"/>
          <w:szCs w:val="28"/>
          <w:highlight w:val="none"/>
          <w:lang w:eastAsia="zh-CN"/>
        </w:rPr>
        <w:t>由乙方承担。</w:t>
      </w:r>
    </w:p>
    <w:p w14:paraId="3403D166">
      <w:pPr>
        <w:tabs>
          <w:tab w:val="left" w:pos="480"/>
        </w:tabs>
        <w:spacing w:line="400" w:lineRule="exact"/>
        <w:ind w:firstLine="562" w:firstLineChars="200"/>
        <w:rPr>
          <w:rFonts w:ascii="仿宋" w:hAnsi="仿宋" w:eastAsia="仿宋"/>
          <w:b/>
          <w:sz w:val="28"/>
          <w:szCs w:val="28"/>
          <w:highlight w:val="none"/>
        </w:rPr>
      </w:pPr>
      <w:r>
        <w:rPr>
          <w:rFonts w:hint="eastAsia" w:ascii="仿宋" w:hAnsi="仿宋" w:eastAsia="仿宋"/>
          <w:b/>
          <w:sz w:val="28"/>
          <w:szCs w:val="28"/>
          <w:highlight w:val="none"/>
        </w:rPr>
        <w:t>六、运输</w:t>
      </w:r>
    </w:p>
    <w:p w14:paraId="235EB04E">
      <w:pPr>
        <w:tabs>
          <w:tab w:val="left" w:pos="480"/>
        </w:tabs>
        <w:spacing w:line="400" w:lineRule="exact"/>
        <w:ind w:firstLine="280" w:firstLineChars="100"/>
        <w:rPr>
          <w:rFonts w:ascii="仿宋" w:hAnsi="仿宋" w:eastAsia="仿宋"/>
          <w:sz w:val="28"/>
          <w:szCs w:val="28"/>
          <w:highlight w:val="none"/>
        </w:rPr>
      </w:pPr>
      <w:r>
        <w:rPr>
          <w:rFonts w:hint="eastAsia" w:ascii="仿宋" w:hAnsi="仿宋" w:eastAsia="仿宋"/>
          <w:sz w:val="28"/>
          <w:szCs w:val="28"/>
          <w:highlight w:val="none"/>
        </w:rPr>
        <w:t>（一）运输由乙方负责，运输费已包含在合同总价内，包括从产品/设备供应地点到达甲方指定的交货地点的所有费用，包括但不限于运输费、装卸费、仓储费、保险费等。</w:t>
      </w:r>
    </w:p>
    <w:p w14:paraId="61C45255">
      <w:pPr>
        <w:tabs>
          <w:tab w:val="left" w:pos="480"/>
        </w:tabs>
        <w:spacing w:line="400" w:lineRule="exact"/>
        <w:ind w:firstLine="280" w:firstLineChars="100"/>
        <w:rPr>
          <w:rFonts w:ascii="仿宋" w:hAnsi="仿宋" w:eastAsia="仿宋"/>
          <w:sz w:val="28"/>
          <w:szCs w:val="28"/>
          <w:highlight w:val="none"/>
        </w:rPr>
      </w:pPr>
      <w:r>
        <w:rPr>
          <w:rFonts w:hint="eastAsia" w:ascii="仿宋" w:hAnsi="仿宋" w:eastAsia="仿宋"/>
          <w:sz w:val="28"/>
          <w:szCs w:val="28"/>
          <w:highlight w:val="none"/>
        </w:rPr>
        <w:t>（二）运输方式由乙方自行选择。</w:t>
      </w:r>
    </w:p>
    <w:p w14:paraId="7B056CC1">
      <w:pPr>
        <w:spacing w:line="400" w:lineRule="exact"/>
        <w:ind w:firstLine="562" w:firstLineChars="200"/>
        <w:rPr>
          <w:rFonts w:ascii="仿宋" w:hAnsi="仿宋" w:eastAsia="仿宋"/>
          <w:sz w:val="28"/>
          <w:szCs w:val="28"/>
          <w:highlight w:val="none"/>
        </w:rPr>
      </w:pPr>
      <w:r>
        <w:rPr>
          <w:rFonts w:hint="eastAsia" w:ascii="仿宋" w:hAnsi="仿宋" w:eastAsia="仿宋"/>
          <w:b/>
          <w:sz w:val="28"/>
          <w:szCs w:val="28"/>
          <w:highlight w:val="none"/>
        </w:rPr>
        <w:t>七、交货</w:t>
      </w:r>
    </w:p>
    <w:p w14:paraId="258AA01F">
      <w:pPr>
        <w:tabs>
          <w:tab w:val="left" w:pos="480"/>
        </w:tabs>
        <w:spacing w:line="400" w:lineRule="exact"/>
        <w:ind w:firstLine="280" w:firstLineChars="100"/>
        <w:rPr>
          <w:rFonts w:ascii="仿宋" w:hAnsi="仿宋" w:eastAsia="仿宋"/>
          <w:sz w:val="28"/>
          <w:szCs w:val="28"/>
          <w:highlight w:val="none"/>
        </w:rPr>
      </w:pPr>
      <w:r>
        <w:rPr>
          <w:rFonts w:hint="eastAsia" w:ascii="仿宋" w:hAnsi="仿宋" w:eastAsia="仿宋"/>
          <w:sz w:val="28"/>
          <w:szCs w:val="28"/>
          <w:highlight w:val="none"/>
        </w:rPr>
        <w:t>（一）交货地点：甲方指定地点。</w:t>
      </w:r>
    </w:p>
    <w:p w14:paraId="0830E406">
      <w:pPr>
        <w:tabs>
          <w:tab w:val="left" w:pos="480"/>
        </w:tabs>
        <w:spacing w:line="400" w:lineRule="exact"/>
        <w:ind w:firstLine="280" w:firstLineChars="100"/>
        <w:rPr>
          <w:rFonts w:ascii="仿宋" w:hAnsi="仿宋" w:eastAsia="仿宋"/>
          <w:bCs/>
          <w:sz w:val="28"/>
          <w:szCs w:val="28"/>
          <w:highlight w:val="none"/>
        </w:rPr>
      </w:pPr>
      <w:r>
        <w:rPr>
          <w:rFonts w:hint="eastAsia" w:ascii="仿宋" w:hAnsi="仿宋" w:eastAsia="仿宋"/>
          <w:sz w:val="28"/>
          <w:szCs w:val="28"/>
          <w:highlight w:val="none"/>
        </w:rPr>
        <w:t>（二）交货期</w:t>
      </w:r>
      <w:r>
        <w:rPr>
          <w:rFonts w:hint="eastAsia" w:ascii="仿宋" w:hAnsi="仿宋" w:eastAsia="仿宋"/>
          <w:b/>
          <w:bCs/>
          <w:sz w:val="28"/>
          <w:szCs w:val="28"/>
          <w:highlight w:val="none"/>
        </w:rPr>
        <w:t>：</w:t>
      </w:r>
      <w:r>
        <w:rPr>
          <w:rFonts w:hint="eastAsia" w:ascii="仿宋" w:hAnsi="仿宋" w:eastAsia="仿宋"/>
          <w:bCs/>
          <w:sz w:val="28"/>
          <w:szCs w:val="28"/>
          <w:highlight w:val="none"/>
        </w:rPr>
        <w:t>自合同签订之日，乙方接到甲方供货通知后</w:t>
      </w:r>
      <w:r>
        <w:rPr>
          <w:rFonts w:hint="eastAsia" w:ascii="仿宋" w:hAnsi="仿宋" w:eastAsia="仿宋"/>
          <w:bCs/>
          <w:sz w:val="28"/>
          <w:szCs w:val="28"/>
          <w:highlight w:val="none"/>
          <w:u w:val="single"/>
        </w:rPr>
        <w:t xml:space="preserve">    个</w:t>
      </w:r>
      <w:r>
        <w:rPr>
          <w:rFonts w:hint="eastAsia" w:ascii="仿宋" w:hAnsi="仿宋" w:eastAsia="仿宋"/>
          <w:bCs/>
          <w:sz w:val="28"/>
          <w:szCs w:val="28"/>
          <w:highlight w:val="none"/>
        </w:rPr>
        <w:t>工作日交货并完成</w:t>
      </w:r>
      <w:r>
        <w:rPr>
          <w:rFonts w:hint="eastAsia" w:ascii="仿宋" w:hAnsi="仿宋" w:eastAsia="仿宋"/>
          <w:sz w:val="28"/>
          <w:szCs w:val="28"/>
          <w:highlight w:val="none"/>
        </w:rPr>
        <w:t>产品/设备</w:t>
      </w:r>
      <w:r>
        <w:rPr>
          <w:rFonts w:hint="eastAsia" w:ascii="仿宋" w:hAnsi="仿宋" w:eastAsia="仿宋"/>
          <w:bCs/>
          <w:sz w:val="28"/>
          <w:szCs w:val="28"/>
          <w:highlight w:val="none"/>
        </w:rPr>
        <w:t>的安装、调试、验收等，且</w:t>
      </w:r>
      <w:r>
        <w:rPr>
          <w:rFonts w:hint="eastAsia" w:ascii="仿宋" w:hAnsi="仿宋" w:eastAsia="仿宋"/>
          <w:sz w:val="28"/>
          <w:szCs w:val="28"/>
          <w:highlight w:val="none"/>
        </w:rPr>
        <w:t>能够正常使用</w:t>
      </w:r>
      <w:r>
        <w:rPr>
          <w:rFonts w:hint="eastAsia" w:ascii="仿宋" w:hAnsi="仿宋" w:eastAsia="仿宋"/>
          <w:bCs/>
          <w:sz w:val="28"/>
          <w:szCs w:val="28"/>
          <w:highlight w:val="none"/>
        </w:rPr>
        <w:t>。</w:t>
      </w:r>
    </w:p>
    <w:p w14:paraId="47AD7A97">
      <w:pPr>
        <w:pStyle w:val="4"/>
        <w:rPr>
          <w:rFonts w:ascii="仿宋" w:hAnsi="仿宋" w:eastAsia="仿宋"/>
          <w:bCs/>
          <w:sz w:val="28"/>
          <w:szCs w:val="28"/>
          <w:highlight w:val="none"/>
        </w:rPr>
      </w:pPr>
      <w:r>
        <w:rPr>
          <w:rFonts w:hint="eastAsia" w:ascii="仿宋" w:hAnsi="仿宋" w:eastAsia="仿宋"/>
          <w:bCs/>
          <w:sz w:val="28"/>
          <w:szCs w:val="28"/>
          <w:highlight w:val="none"/>
        </w:rPr>
        <w:t xml:space="preserve">   （三）乙方应在合同约定的交货日期前</w:t>
      </w:r>
      <w:r>
        <w:rPr>
          <w:rFonts w:hint="eastAsia" w:ascii="仿宋" w:hAnsi="仿宋" w:eastAsia="仿宋"/>
          <w:bCs/>
          <w:sz w:val="28"/>
          <w:szCs w:val="28"/>
          <w:highlight w:val="none"/>
          <w:u w:val="single"/>
        </w:rPr>
        <w:t xml:space="preserve">     </w:t>
      </w:r>
      <w:r>
        <w:rPr>
          <w:rFonts w:hint="eastAsia" w:ascii="仿宋" w:hAnsi="仿宋" w:eastAsia="仿宋"/>
          <w:bCs/>
          <w:sz w:val="28"/>
          <w:szCs w:val="28"/>
          <w:highlight w:val="none"/>
        </w:rPr>
        <w:t>日，向甲方提供交货计划（内容包括：合同编号、产品名称、数量、价格、箱数、规格、重量和体积、拟发运的时间及其他必要的说明），并于发运的同时通知甲方。</w:t>
      </w:r>
    </w:p>
    <w:p w14:paraId="06942F41">
      <w:pPr>
        <w:pStyle w:val="4"/>
        <w:rPr>
          <w:rFonts w:ascii="仿宋" w:hAnsi="仿宋" w:eastAsia="仿宋"/>
          <w:bCs/>
          <w:sz w:val="28"/>
          <w:szCs w:val="28"/>
          <w:highlight w:val="none"/>
        </w:rPr>
      </w:pPr>
      <w:r>
        <w:rPr>
          <w:rFonts w:hint="eastAsia" w:ascii="仿宋" w:hAnsi="仿宋" w:eastAsia="仿宋"/>
          <w:bCs/>
          <w:sz w:val="28"/>
          <w:szCs w:val="28"/>
          <w:highlight w:val="none"/>
        </w:rPr>
        <w:t>（四）货物经甲方验收合格前，一切毁损、灭失等风险由乙方承担。</w:t>
      </w:r>
    </w:p>
    <w:p w14:paraId="331AC3B9">
      <w:pPr>
        <w:pStyle w:val="4"/>
        <w:rPr>
          <w:rFonts w:eastAsia="仿宋"/>
          <w:highlight w:val="none"/>
        </w:rPr>
      </w:pPr>
      <w:r>
        <w:rPr>
          <w:rFonts w:hint="eastAsia" w:ascii="仿宋" w:hAnsi="仿宋" w:eastAsia="仿宋"/>
          <w:bCs/>
          <w:sz w:val="28"/>
          <w:szCs w:val="28"/>
          <w:highlight w:val="none"/>
        </w:rPr>
        <w:t>（五）其他约定事项：</w:t>
      </w:r>
      <w:r>
        <w:rPr>
          <w:rFonts w:hint="eastAsia" w:ascii="仿宋" w:hAnsi="仿宋" w:eastAsia="仿宋"/>
          <w:bCs/>
          <w:sz w:val="28"/>
          <w:szCs w:val="28"/>
          <w:highlight w:val="none"/>
          <w:u w:val="single"/>
        </w:rPr>
        <w:t>按照招标文件要求完成安装、调试、培训工作</w:t>
      </w:r>
      <w:r>
        <w:rPr>
          <w:rFonts w:hint="eastAsia" w:ascii="仿宋" w:hAnsi="仿宋" w:eastAsia="仿宋"/>
          <w:bCs/>
          <w:sz w:val="28"/>
          <w:szCs w:val="28"/>
          <w:highlight w:val="none"/>
        </w:rPr>
        <w:t>。</w:t>
      </w:r>
    </w:p>
    <w:p w14:paraId="76DC0991">
      <w:pPr>
        <w:pStyle w:val="4"/>
        <w:ind w:firstLine="281" w:firstLineChars="100"/>
        <w:rPr>
          <w:rFonts w:ascii="仿宋" w:hAnsi="仿宋" w:eastAsia="仿宋"/>
          <w:b/>
          <w:sz w:val="28"/>
          <w:szCs w:val="28"/>
          <w:highlight w:val="none"/>
        </w:rPr>
      </w:pPr>
      <w:r>
        <w:rPr>
          <w:rFonts w:hint="eastAsia" w:ascii="仿宋" w:hAnsi="仿宋" w:eastAsia="仿宋"/>
          <w:b/>
          <w:sz w:val="28"/>
          <w:szCs w:val="28"/>
          <w:highlight w:val="none"/>
        </w:rPr>
        <w:t>八、验收：</w:t>
      </w:r>
    </w:p>
    <w:p w14:paraId="2CEAA272">
      <w:pPr>
        <w:spacing w:line="400" w:lineRule="exact"/>
        <w:ind w:firstLine="280" w:firstLineChars="100"/>
        <w:rPr>
          <w:rFonts w:ascii="仿宋" w:hAnsi="仿宋" w:eastAsia="仿宋"/>
          <w:sz w:val="28"/>
          <w:szCs w:val="28"/>
          <w:highlight w:val="none"/>
        </w:rPr>
      </w:pPr>
      <w:r>
        <w:rPr>
          <w:rFonts w:hint="eastAsia" w:ascii="仿宋" w:hAnsi="仿宋" w:eastAsia="仿宋"/>
          <w:sz w:val="28"/>
          <w:szCs w:val="28"/>
          <w:highlight w:val="none"/>
        </w:rPr>
        <w:t>（一）外观验收。产品/设备及其附件到达甲方指定地点后，甲方根据合同约定，确认产地、规格、型号和数量等，进行外观验收，双方负责人签署《验收申请表》，本验收单</w:t>
      </w:r>
      <w:r>
        <w:rPr>
          <w:rFonts w:hint="eastAsia" w:ascii="仿宋" w:hAnsi="仿宋" w:eastAsia="仿宋" w:cs="宋体"/>
          <w:sz w:val="28"/>
          <w:szCs w:val="28"/>
          <w:highlight w:val="none"/>
        </w:rPr>
        <w:t>非</w:t>
      </w:r>
      <w:r>
        <w:rPr>
          <w:rFonts w:hint="eastAsia" w:ascii="仿宋" w:hAnsi="仿宋" w:eastAsia="仿宋"/>
          <w:sz w:val="28"/>
          <w:szCs w:val="28"/>
          <w:highlight w:val="none"/>
        </w:rPr>
        <w:t>产品/设备</w:t>
      </w:r>
      <w:r>
        <w:rPr>
          <w:rFonts w:hint="eastAsia" w:ascii="仿宋" w:hAnsi="仿宋" w:eastAsia="仿宋" w:cs="宋体"/>
          <w:sz w:val="28"/>
          <w:szCs w:val="28"/>
          <w:highlight w:val="none"/>
        </w:rPr>
        <w:t>质量合格的依据。</w:t>
      </w:r>
    </w:p>
    <w:p w14:paraId="41822CEC">
      <w:pPr>
        <w:spacing w:line="400" w:lineRule="exact"/>
        <w:ind w:firstLine="280" w:firstLineChars="100"/>
        <w:rPr>
          <w:rFonts w:ascii="仿宋" w:hAnsi="仿宋" w:eastAsia="仿宋"/>
          <w:sz w:val="28"/>
          <w:szCs w:val="28"/>
          <w:highlight w:val="none"/>
        </w:rPr>
      </w:pPr>
      <w:r>
        <w:rPr>
          <w:rFonts w:hint="eastAsia" w:ascii="仿宋" w:hAnsi="仿宋" w:eastAsia="仿宋"/>
          <w:sz w:val="28"/>
          <w:szCs w:val="28"/>
          <w:highlight w:val="none"/>
        </w:rPr>
        <w:t>（二）安装调试。乙方应配合甲方的工期要求，负责对产品/设备进行安装、调试和试运行，直至验收合格；但交货至试运行合格不得超过   个日历日。安装、调试、验收等所有费用均由乙方承担。试运行应当在甲方的参与下进行。使用科室在《验收申请表》中填写试运行记录和试运行结论（合格、更换、检修、退货等）</w:t>
      </w:r>
      <w:r>
        <w:rPr>
          <w:rFonts w:hint="eastAsia" w:ascii="仿宋" w:hAnsi="仿宋" w:eastAsia="仿宋" w:cs="宋体"/>
          <w:sz w:val="28"/>
          <w:szCs w:val="28"/>
          <w:highlight w:val="none"/>
        </w:rPr>
        <w:t>。</w:t>
      </w:r>
    </w:p>
    <w:p w14:paraId="4AA4B627">
      <w:pPr>
        <w:pStyle w:val="4"/>
        <w:ind w:firstLine="280" w:firstLineChars="100"/>
        <w:rPr>
          <w:highlight w:val="none"/>
        </w:rPr>
      </w:pPr>
      <w:r>
        <w:rPr>
          <w:rFonts w:hint="eastAsia" w:ascii="仿宋" w:hAnsi="仿宋" w:eastAsia="仿宋"/>
          <w:sz w:val="28"/>
          <w:szCs w:val="28"/>
          <w:highlight w:val="none"/>
        </w:rPr>
        <w:t>（三）最终验收。产品/设备安装调试和试运行合格后，经甲方确认后，组织乙方进行最终验收（必要时甲方可委托具有相应资质的第三方检测机构</w:t>
      </w:r>
      <w:r>
        <w:rPr>
          <w:rFonts w:hint="eastAsia" w:ascii="仿宋" w:hAnsi="仿宋" w:eastAsia="仿宋" w:cs="Calibri Light"/>
          <w:sz w:val="28"/>
          <w:szCs w:val="28"/>
          <w:highlight w:val="none"/>
        </w:rPr>
        <w:t>/</w:t>
      </w:r>
      <w:r>
        <w:rPr>
          <w:rFonts w:hint="eastAsia" w:ascii="仿宋" w:hAnsi="仿宋" w:eastAsia="仿宋"/>
          <w:sz w:val="28"/>
          <w:szCs w:val="28"/>
          <w:highlight w:val="none"/>
        </w:rPr>
        <w:t>技术专家对产品</w:t>
      </w:r>
      <w:r>
        <w:rPr>
          <w:rFonts w:hint="eastAsia" w:ascii="仿宋" w:hAnsi="仿宋" w:eastAsia="仿宋" w:cs="Calibri Light"/>
          <w:sz w:val="28"/>
          <w:szCs w:val="28"/>
          <w:highlight w:val="none"/>
        </w:rPr>
        <w:t>/</w:t>
      </w:r>
      <w:r>
        <w:rPr>
          <w:rFonts w:hint="eastAsia" w:ascii="仿宋" w:hAnsi="仿宋" w:eastAsia="仿宋"/>
          <w:sz w:val="28"/>
          <w:szCs w:val="28"/>
          <w:highlight w:val="none"/>
        </w:rPr>
        <w:t>设备进行最终验收，需要国家法定检验部门进行检验或验收的由乙方负责联系）；</w:t>
      </w:r>
      <w:r>
        <w:rPr>
          <w:rFonts w:hint="eastAsia" w:ascii="仿宋" w:hAnsi="仿宋" w:eastAsia="仿宋" w:cs="仿宋"/>
          <w:sz w:val="28"/>
          <w:szCs w:val="28"/>
          <w:highlight w:val="none"/>
        </w:rPr>
        <w:t>甲方验收小组对照合同条款逐一验收，双方在《验收单》上签字确认，本验收单为结算的依据。</w:t>
      </w:r>
    </w:p>
    <w:p w14:paraId="34AC6720">
      <w:pPr>
        <w:spacing w:line="400" w:lineRule="exact"/>
        <w:ind w:firstLine="280" w:firstLineChars="100"/>
        <w:rPr>
          <w:rFonts w:ascii="仿宋" w:hAnsi="仿宋" w:eastAsia="仿宋"/>
          <w:sz w:val="28"/>
          <w:szCs w:val="28"/>
          <w:highlight w:val="none"/>
        </w:rPr>
      </w:pPr>
      <w:r>
        <w:rPr>
          <w:rFonts w:hint="eastAsia" w:ascii="仿宋" w:hAnsi="仿宋" w:eastAsia="仿宋"/>
          <w:sz w:val="28"/>
          <w:szCs w:val="28"/>
          <w:highlight w:val="none"/>
        </w:rPr>
        <w:t>（四）验收依据</w:t>
      </w:r>
    </w:p>
    <w:p w14:paraId="3DBD9CE7">
      <w:pPr>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1. 招标文件、投标文件、澄清表（函）；</w:t>
      </w:r>
    </w:p>
    <w:p w14:paraId="4691BD9F">
      <w:pPr>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2．本合同及附件（若有）；</w:t>
      </w:r>
    </w:p>
    <w:p w14:paraId="60E1CFBA">
      <w:pPr>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3．合同签订时国家、行业及企业等的标准和技术规范。</w:t>
      </w:r>
    </w:p>
    <w:p w14:paraId="6352D604">
      <w:pPr>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4. 双方拟定的其他条款。</w:t>
      </w:r>
    </w:p>
    <w:p w14:paraId="4D5156F0">
      <w:pPr>
        <w:spacing w:line="400" w:lineRule="exact"/>
        <w:ind w:firstLine="562" w:firstLineChars="200"/>
        <w:rPr>
          <w:rFonts w:ascii="仿宋" w:hAnsi="仿宋" w:eastAsia="仿宋"/>
          <w:sz w:val="28"/>
          <w:szCs w:val="28"/>
          <w:highlight w:val="none"/>
        </w:rPr>
      </w:pPr>
      <w:r>
        <w:rPr>
          <w:rFonts w:hint="eastAsia" w:ascii="仿宋" w:hAnsi="仿宋" w:eastAsia="仿宋"/>
          <w:b/>
          <w:sz w:val="28"/>
          <w:szCs w:val="28"/>
          <w:highlight w:val="none"/>
        </w:rPr>
        <w:t>九、</w:t>
      </w:r>
      <w:r>
        <w:rPr>
          <w:rFonts w:hint="eastAsia" w:ascii="仿宋" w:hAnsi="仿宋" w:eastAsia="仿宋"/>
          <w:sz w:val="28"/>
          <w:szCs w:val="28"/>
          <w:highlight w:val="none"/>
        </w:rPr>
        <w:t>售后服务：</w:t>
      </w:r>
    </w:p>
    <w:p w14:paraId="6B78C931">
      <w:pPr>
        <w:tabs>
          <w:tab w:val="left" w:pos="480"/>
        </w:tabs>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乙方提供免费原厂整机保修</w:t>
      </w:r>
      <w:r>
        <w:rPr>
          <w:rFonts w:hint="eastAsia" w:ascii="仿宋" w:hAnsi="仿宋" w:eastAsia="仿宋"/>
          <w:sz w:val="28"/>
          <w:szCs w:val="28"/>
          <w:highlight w:val="none"/>
          <w:u w:val="single"/>
        </w:rPr>
        <w:t xml:space="preserve">   </w:t>
      </w:r>
      <w:r>
        <w:rPr>
          <w:rFonts w:hint="eastAsia" w:ascii="仿宋" w:hAnsi="仿宋" w:eastAsia="仿宋"/>
          <w:sz w:val="28"/>
          <w:szCs w:val="28"/>
          <w:highlight w:val="none"/>
        </w:rPr>
        <w:t>年（具体时限同质保期），终身维护的售后服务。</w:t>
      </w:r>
    </w:p>
    <w:p w14:paraId="6FA79672">
      <w:pPr>
        <w:tabs>
          <w:tab w:val="left" w:pos="480"/>
        </w:tabs>
        <w:spacing w:line="400" w:lineRule="exact"/>
        <w:ind w:firstLine="280" w:firstLineChars="100"/>
        <w:rPr>
          <w:rFonts w:ascii="仿宋" w:hAnsi="仿宋" w:eastAsia="仿宋" w:cs="Calibri"/>
          <w:sz w:val="28"/>
          <w:szCs w:val="28"/>
          <w:highlight w:val="none"/>
        </w:rPr>
      </w:pPr>
      <w:r>
        <w:rPr>
          <w:rFonts w:ascii="仿宋" w:hAnsi="仿宋" w:eastAsia="仿宋" w:cs="Calibri"/>
          <w:sz w:val="28"/>
          <w:szCs w:val="28"/>
          <w:highlight w:val="none"/>
        </w:rPr>
        <w:t>（一）质保期内</w:t>
      </w:r>
    </w:p>
    <w:p w14:paraId="242931E3">
      <w:pPr>
        <w:pStyle w:val="4"/>
        <w:rPr>
          <w:rFonts w:eastAsia="仿宋"/>
          <w:highlight w:val="none"/>
        </w:rPr>
      </w:pPr>
      <w:r>
        <w:rPr>
          <w:rFonts w:hint="eastAsia" w:ascii="仿宋" w:hAnsi="仿宋" w:eastAsia="仿宋" w:cs="Calibri"/>
          <w:sz w:val="28"/>
          <w:szCs w:val="28"/>
          <w:highlight w:val="none"/>
        </w:rPr>
        <w:t xml:space="preserve">    1.</w:t>
      </w:r>
      <w:r>
        <w:rPr>
          <w:rFonts w:hint="eastAsia" w:ascii="仿宋" w:hAnsi="仿宋" w:eastAsia="仿宋"/>
          <w:sz w:val="28"/>
          <w:szCs w:val="28"/>
          <w:highlight w:val="none"/>
        </w:rPr>
        <w:t>同一主要部件出现质量问题经过两次维修后仍无法正常使用，乙方应</w:t>
      </w:r>
      <w:r>
        <w:rPr>
          <w:rFonts w:hint="eastAsia" w:ascii="仿宋" w:hAnsi="仿宋" w:eastAsia="仿宋"/>
          <w:sz w:val="28"/>
          <w:szCs w:val="28"/>
          <w:highlight w:val="none"/>
          <w:u w:val="single"/>
        </w:rPr>
        <w:t xml:space="preserve"> 2</w:t>
      </w:r>
      <w:r>
        <w:rPr>
          <w:rFonts w:hint="eastAsia" w:ascii="仿宋" w:hAnsi="仿宋" w:eastAsia="仿宋"/>
          <w:sz w:val="28"/>
          <w:szCs w:val="28"/>
          <w:highlight w:val="none"/>
        </w:rPr>
        <w:t>日内更换同型号、同规格的产品/设备，若乙方违反本约定，应承担违约责任，赔偿甲方的损失，且甲方有权解除本合同。</w:t>
      </w:r>
    </w:p>
    <w:p w14:paraId="4C2E98DE">
      <w:pPr>
        <w:spacing w:line="400" w:lineRule="exact"/>
        <w:ind w:firstLine="560" w:firstLineChars="200"/>
        <w:rPr>
          <w:rFonts w:ascii="仿宋" w:hAnsi="仿宋" w:eastAsia="仿宋" w:cs="Calibri"/>
          <w:sz w:val="28"/>
          <w:szCs w:val="28"/>
          <w:highlight w:val="none"/>
        </w:rPr>
      </w:pPr>
      <w:r>
        <w:rPr>
          <w:rFonts w:hint="eastAsia" w:ascii="仿宋" w:hAnsi="仿宋" w:eastAsia="仿宋" w:cs="Calibri"/>
          <w:sz w:val="28"/>
          <w:szCs w:val="28"/>
          <w:highlight w:val="none"/>
        </w:rPr>
        <w:t>2.</w:t>
      </w:r>
      <w:r>
        <w:rPr>
          <w:rFonts w:ascii="仿宋" w:hAnsi="仿宋" w:eastAsia="仿宋" w:cs="Calibri"/>
          <w:sz w:val="28"/>
          <w:szCs w:val="28"/>
          <w:highlight w:val="none"/>
        </w:rPr>
        <w:t>凡正常使用中出现的故障，均由乙方负责提供免费检测维修、免费更换不合格的零部件直至整机（更换的零部件或整机应保证自更换之日起提供相同的质量保证期）</w:t>
      </w:r>
      <w:r>
        <w:rPr>
          <w:rFonts w:hint="eastAsia" w:ascii="仿宋" w:hAnsi="仿宋" w:eastAsia="仿宋" w:cs="Calibri"/>
          <w:sz w:val="28"/>
          <w:szCs w:val="28"/>
          <w:highlight w:val="none"/>
        </w:rPr>
        <w:t>；</w:t>
      </w:r>
      <w:r>
        <w:rPr>
          <w:rFonts w:ascii="仿宋" w:hAnsi="仿宋" w:eastAsia="仿宋" w:cs="Calibri"/>
          <w:sz w:val="28"/>
          <w:szCs w:val="28"/>
          <w:highlight w:val="none"/>
        </w:rPr>
        <w:t>若需返厂处理，乙方应</w:t>
      </w:r>
      <w:r>
        <w:rPr>
          <w:rFonts w:hint="eastAsia" w:ascii="仿宋" w:hAnsi="仿宋" w:eastAsia="仿宋" w:cs="Calibri"/>
          <w:sz w:val="28"/>
          <w:szCs w:val="28"/>
          <w:highlight w:val="none"/>
        </w:rPr>
        <w:t>免费提供替代产品/设备，并</w:t>
      </w:r>
      <w:r>
        <w:rPr>
          <w:rFonts w:ascii="仿宋" w:hAnsi="仿宋" w:eastAsia="仿宋" w:cs="Calibri"/>
          <w:sz w:val="28"/>
          <w:szCs w:val="28"/>
          <w:highlight w:val="none"/>
        </w:rPr>
        <w:t>承担</w:t>
      </w:r>
      <w:r>
        <w:rPr>
          <w:rFonts w:hint="eastAsia" w:ascii="仿宋" w:hAnsi="仿宋" w:eastAsia="仿宋" w:cs="Calibri"/>
          <w:sz w:val="28"/>
          <w:szCs w:val="28"/>
          <w:highlight w:val="none"/>
        </w:rPr>
        <w:t>返厂维修的所有</w:t>
      </w:r>
      <w:r>
        <w:rPr>
          <w:rFonts w:ascii="仿宋" w:hAnsi="仿宋" w:eastAsia="仿宋" w:cs="Calibri"/>
          <w:sz w:val="28"/>
          <w:szCs w:val="28"/>
          <w:highlight w:val="none"/>
        </w:rPr>
        <w:t>费用</w:t>
      </w:r>
      <w:r>
        <w:rPr>
          <w:rFonts w:hint="eastAsia" w:ascii="仿宋" w:hAnsi="仿宋" w:eastAsia="仿宋" w:cs="Calibri"/>
          <w:sz w:val="28"/>
          <w:szCs w:val="28"/>
          <w:highlight w:val="none"/>
        </w:rPr>
        <w:t>，包括但不限于往返运输费用等；且乙方应</w:t>
      </w:r>
      <w:r>
        <w:rPr>
          <w:rFonts w:ascii="仿宋" w:hAnsi="仿宋" w:eastAsia="仿宋" w:cs="Calibri"/>
          <w:sz w:val="28"/>
          <w:szCs w:val="28"/>
          <w:highlight w:val="none"/>
        </w:rPr>
        <w:t>同时记录检修情况，并向甲方提供检修报告。</w:t>
      </w:r>
    </w:p>
    <w:p w14:paraId="33BB75F4">
      <w:pPr>
        <w:spacing w:line="400" w:lineRule="exact"/>
        <w:ind w:firstLine="560" w:firstLineChars="200"/>
        <w:rPr>
          <w:rFonts w:ascii="仿宋" w:hAnsi="仿宋" w:eastAsia="仿宋" w:cs="Calibri"/>
          <w:sz w:val="28"/>
          <w:szCs w:val="28"/>
          <w:highlight w:val="none"/>
        </w:rPr>
      </w:pPr>
      <w:r>
        <w:rPr>
          <w:rFonts w:hint="eastAsia" w:ascii="仿宋" w:hAnsi="仿宋" w:eastAsia="仿宋" w:cs="Calibri"/>
          <w:sz w:val="28"/>
          <w:szCs w:val="28"/>
          <w:highlight w:val="none"/>
        </w:rPr>
        <w:t>3.</w:t>
      </w:r>
      <w:r>
        <w:rPr>
          <w:rFonts w:ascii="仿宋" w:hAnsi="仿宋" w:eastAsia="仿宋" w:cs="Calibri"/>
          <w:sz w:val="28"/>
          <w:szCs w:val="28"/>
          <w:highlight w:val="none"/>
        </w:rPr>
        <w:t>免费提供每</w:t>
      </w:r>
      <w:r>
        <w:rPr>
          <w:rFonts w:hint="eastAsia" w:ascii="仿宋" w:hAnsi="仿宋" w:eastAsia="仿宋" w:cs="Calibri"/>
          <w:sz w:val="28"/>
          <w:szCs w:val="28"/>
          <w:highlight w:val="none"/>
        </w:rPr>
        <w:t>天</w:t>
      </w:r>
      <w:r>
        <w:rPr>
          <w:rFonts w:ascii="仿宋" w:hAnsi="仿宋" w:eastAsia="仿宋" w:cs="Calibri"/>
          <w:sz w:val="28"/>
          <w:szCs w:val="28"/>
          <w:highlight w:val="none"/>
          <w:u w:val="single"/>
        </w:rPr>
        <w:t>24</w:t>
      </w:r>
      <w:r>
        <w:rPr>
          <w:rFonts w:ascii="仿宋" w:hAnsi="仿宋" w:eastAsia="仿宋" w:cs="Calibri"/>
          <w:sz w:val="28"/>
          <w:szCs w:val="28"/>
          <w:highlight w:val="none"/>
        </w:rPr>
        <w:t>小时不间断的电话支持服务，解答</w:t>
      </w:r>
      <w:r>
        <w:rPr>
          <w:rFonts w:hint="eastAsia" w:ascii="仿宋" w:hAnsi="仿宋" w:eastAsia="仿宋" w:cs="Calibri"/>
          <w:sz w:val="28"/>
          <w:szCs w:val="28"/>
          <w:highlight w:val="none"/>
        </w:rPr>
        <w:t>甲方</w:t>
      </w:r>
      <w:r>
        <w:rPr>
          <w:rFonts w:ascii="仿宋" w:hAnsi="仿宋" w:eastAsia="仿宋" w:cs="Calibri"/>
          <w:sz w:val="28"/>
          <w:szCs w:val="28"/>
          <w:highlight w:val="none"/>
        </w:rPr>
        <w:t>在使用过程中遇到的问题，及时提出解决问题的建议和对策。</w:t>
      </w:r>
    </w:p>
    <w:p w14:paraId="6FC4EFCA">
      <w:pPr>
        <w:spacing w:line="400" w:lineRule="exact"/>
        <w:ind w:firstLine="560" w:firstLineChars="200"/>
        <w:rPr>
          <w:rFonts w:ascii="仿宋" w:hAnsi="仿宋" w:eastAsia="仿宋" w:cs="Calibri"/>
          <w:sz w:val="28"/>
          <w:szCs w:val="28"/>
          <w:highlight w:val="none"/>
        </w:rPr>
      </w:pPr>
      <w:r>
        <w:rPr>
          <w:rFonts w:hint="eastAsia" w:ascii="仿宋" w:hAnsi="仿宋" w:eastAsia="仿宋"/>
          <w:sz w:val="28"/>
          <w:szCs w:val="28"/>
          <w:highlight w:val="none"/>
        </w:rPr>
        <w:t>4.</w:t>
      </w:r>
      <w:r>
        <w:rPr>
          <w:rFonts w:hint="eastAsia" w:ascii="仿宋" w:hAnsi="仿宋" w:eastAsia="仿宋" w:cs="Calibri"/>
          <w:sz w:val="28"/>
          <w:szCs w:val="28"/>
          <w:highlight w:val="none"/>
        </w:rPr>
        <w:t xml:space="preserve"> 如出现质量问题，甲方可选择换货或退货；如退货的，乙方应退还全部货款、支付违约金，且应赔偿甲方的损失；如换货的，乙方应支付违约金、赔偿甲方的损失，且承担换货的所有费用。</w:t>
      </w:r>
    </w:p>
    <w:p w14:paraId="7F438C96">
      <w:pPr>
        <w:tabs>
          <w:tab w:val="left" w:pos="480"/>
        </w:tabs>
        <w:spacing w:line="400" w:lineRule="exact"/>
        <w:ind w:firstLine="560" w:firstLineChars="200"/>
        <w:rPr>
          <w:rFonts w:ascii="仿宋" w:hAnsi="仿宋" w:eastAsia="仿宋" w:cs="Calibri"/>
          <w:sz w:val="28"/>
          <w:szCs w:val="28"/>
          <w:highlight w:val="none"/>
        </w:rPr>
      </w:pPr>
      <w:r>
        <w:rPr>
          <w:rFonts w:hint="eastAsia" w:ascii="仿宋" w:hAnsi="仿宋" w:eastAsia="仿宋" w:cs="Calibri"/>
          <w:sz w:val="28"/>
          <w:szCs w:val="28"/>
          <w:highlight w:val="none"/>
        </w:rPr>
        <w:t>5.乙方</w:t>
      </w:r>
      <w:r>
        <w:rPr>
          <w:rFonts w:ascii="仿宋" w:hAnsi="仿宋" w:eastAsia="仿宋" w:cs="Calibri"/>
          <w:sz w:val="28"/>
          <w:szCs w:val="28"/>
          <w:highlight w:val="none"/>
        </w:rPr>
        <w:t>专业维修人员</w:t>
      </w:r>
      <w:r>
        <w:rPr>
          <w:rFonts w:hint="eastAsia" w:ascii="仿宋" w:hAnsi="仿宋" w:eastAsia="仿宋" w:cs="Calibri"/>
          <w:sz w:val="28"/>
          <w:szCs w:val="28"/>
          <w:highlight w:val="none"/>
        </w:rPr>
        <w:t>应每季度到</w:t>
      </w:r>
      <w:r>
        <w:rPr>
          <w:rFonts w:ascii="仿宋" w:hAnsi="仿宋" w:eastAsia="仿宋" w:cs="Calibri"/>
          <w:sz w:val="28"/>
          <w:szCs w:val="28"/>
          <w:highlight w:val="none"/>
        </w:rPr>
        <w:t>现场走访，给予检查维护。并向甲方提供巡检</w:t>
      </w:r>
      <w:r>
        <w:rPr>
          <w:rFonts w:hint="eastAsia" w:ascii="仿宋" w:hAnsi="仿宋" w:eastAsia="仿宋" w:cs="Calibri"/>
          <w:sz w:val="28"/>
          <w:szCs w:val="28"/>
          <w:highlight w:val="none"/>
        </w:rPr>
        <w:t>报告</w:t>
      </w:r>
      <w:r>
        <w:rPr>
          <w:rFonts w:ascii="仿宋" w:hAnsi="仿宋" w:eastAsia="仿宋" w:cs="Calibri"/>
          <w:sz w:val="28"/>
          <w:szCs w:val="28"/>
          <w:highlight w:val="none"/>
        </w:rPr>
        <w:t>（一式两份，由双方签字确认），内容包含但不限于巡检时间、巡检内容、巡检结果。</w:t>
      </w:r>
    </w:p>
    <w:p w14:paraId="4E4A0E1D">
      <w:pPr>
        <w:spacing w:line="400" w:lineRule="exact"/>
        <w:ind w:firstLine="560" w:firstLineChars="200"/>
        <w:rPr>
          <w:rFonts w:ascii="仿宋" w:hAnsi="仿宋" w:eastAsia="仿宋"/>
          <w:sz w:val="28"/>
          <w:szCs w:val="28"/>
          <w:highlight w:val="none"/>
        </w:rPr>
      </w:pPr>
      <w:r>
        <w:rPr>
          <w:rFonts w:hint="eastAsia" w:ascii="仿宋" w:hAnsi="仿宋" w:eastAsia="仿宋" w:cs="Calibri"/>
          <w:sz w:val="28"/>
          <w:szCs w:val="28"/>
          <w:highlight w:val="none"/>
        </w:rPr>
        <w:t>6.</w:t>
      </w:r>
      <w:r>
        <w:rPr>
          <w:rFonts w:hint="eastAsia" w:ascii="仿宋" w:hAnsi="仿宋" w:eastAsia="仿宋"/>
          <w:sz w:val="28"/>
          <w:szCs w:val="28"/>
          <w:highlight w:val="none"/>
        </w:rPr>
        <w:t>质保期届满前 30 日内，乙方应对所有产品/设备进行全面检测、保养、维护。维保内容包括但不限于：检查所有产品/设备及设备间各连接件，设备内清洁和机械滑动上油，进行系统测试等确保所有设备的正常使用。</w:t>
      </w:r>
    </w:p>
    <w:p w14:paraId="18880213">
      <w:pPr>
        <w:pStyle w:val="4"/>
        <w:ind w:firstLine="560" w:firstLineChars="200"/>
        <w:rPr>
          <w:rFonts w:ascii="仿宋" w:hAnsi="仿宋" w:eastAsia="仿宋" w:cs="Calibri"/>
          <w:sz w:val="28"/>
          <w:szCs w:val="28"/>
          <w:highlight w:val="none"/>
        </w:rPr>
      </w:pPr>
      <w:r>
        <w:rPr>
          <w:rFonts w:hint="eastAsia" w:ascii="仿宋" w:hAnsi="仿宋" w:eastAsia="仿宋" w:cs="Calibri"/>
          <w:sz w:val="28"/>
          <w:szCs w:val="28"/>
          <w:highlight w:val="none"/>
        </w:rPr>
        <w:t>7.质保期内，每年对设备提供一次免费保养服务。</w:t>
      </w:r>
    </w:p>
    <w:p w14:paraId="061D4AEF">
      <w:pPr>
        <w:spacing w:line="400" w:lineRule="exact"/>
        <w:ind w:firstLine="280" w:firstLineChars="100"/>
        <w:rPr>
          <w:rFonts w:ascii="仿宋" w:hAnsi="仿宋" w:eastAsia="仿宋" w:cs="Calibri"/>
          <w:sz w:val="28"/>
          <w:szCs w:val="28"/>
          <w:highlight w:val="none"/>
        </w:rPr>
      </w:pPr>
      <w:r>
        <w:rPr>
          <w:rFonts w:ascii="仿宋" w:hAnsi="仿宋" w:eastAsia="仿宋" w:cs="Calibri"/>
          <w:sz w:val="28"/>
          <w:szCs w:val="28"/>
          <w:highlight w:val="none"/>
        </w:rPr>
        <w:t>（二）质保期满后</w:t>
      </w:r>
    </w:p>
    <w:p w14:paraId="1CF15933">
      <w:pPr>
        <w:spacing w:line="400" w:lineRule="exact"/>
        <w:ind w:firstLine="560" w:firstLineChars="200"/>
        <w:rPr>
          <w:rFonts w:ascii="仿宋" w:hAnsi="仿宋" w:eastAsia="仿宋" w:cs="Calibri"/>
          <w:sz w:val="28"/>
          <w:szCs w:val="28"/>
          <w:highlight w:val="none"/>
        </w:rPr>
      </w:pPr>
      <w:r>
        <w:rPr>
          <w:rFonts w:ascii="仿宋" w:hAnsi="仿宋" w:eastAsia="仿宋" w:cs="Calibri"/>
          <w:sz w:val="28"/>
          <w:szCs w:val="28"/>
          <w:highlight w:val="none"/>
        </w:rPr>
        <w:t>乙方应保证以合理的价格提供维护和保养服务，当发生故障时，乙方应按质保期内相同的服务标准进行维护</w:t>
      </w:r>
      <w:r>
        <w:rPr>
          <w:rFonts w:hint="eastAsia" w:ascii="仿宋" w:hAnsi="仿宋" w:eastAsia="仿宋" w:cs="Calibri"/>
          <w:sz w:val="28"/>
          <w:szCs w:val="28"/>
          <w:highlight w:val="none"/>
        </w:rPr>
        <w:t>维修</w:t>
      </w:r>
      <w:r>
        <w:rPr>
          <w:rFonts w:ascii="仿宋" w:hAnsi="仿宋" w:eastAsia="仿宋" w:cs="Calibri"/>
          <w:sz w:val="28"/>
          <w:szCs w:val="28"/>
          <w:highlight w:val="none"/>
        </w:rPr>
        <w:t>。</w:t>
      </w:r>
    </w:p>
    <w:p w14:paraId="083A6DEB">
      <w:pPr>
        <w:spacing w:line="400" w:lineRule="exact"/>
        <w:ind w:firstLine="280" w:firstLineChars="100"/>
        <w:rPr>
          <w:rFonts w:ascii="仿宋" w:hAnsi="仿宋" w:eastAsia="仿宋" w:cs="Calibri"/>
          <w:sz w:val="28"/>
          <w:szCs w:val="28"/>
          <w:highlight w:val="none"/>
        </w:rPr>
      </w:pPr>
      <w:r>
        <w:rPr>
          <w:rFonts w:ascii="仿宋" w:hAnsi="仿宋" w:eastAsia="仿宋" w:cs="Calibri"/>
          <w:sz w:val="28"/>
          <w:szCs w:val="28"/>
          <w:highlight w:val="none"/>
        </w:rPr>
        <w:t>（三）人员培训</w:t>
      </w:r>
    </w:p>
    <w:p w14:paraId="7297C391">
      <w:pPr>
        <w:spacing w:line="400" w:lineRule="exact"/>
        <w:ind w:firstLine="560" w:firstLineChars="200"/>
        <w:rPr>
          <w:rFonts w:ascii="仿宋" w:hAnsi="仿宋" w:eastAsia="仿宋" w:cs="Calibri"/>
          <w:sz w:val="28"/>
          <w:szCs w:val="28"/>
          <w:highlight w:val="none"/>
        </w:rPr>
      </w:pPr>
      <w:r>
        <w:rPr>
          <w:rFonts w:ascii="仿宋" w:hAnsi="仿宋" w:eastAsia="仿宋" w:cs="Calibri"/>
          <w:sz w:val="28"/>
          <w:szCs w:val="28"/>
          <w:highlight w:val="none"/>
        </w:rPr>
        <w:t>提供产品/设备的现场/驻厂培训，</w:t>
      </w:r>
      <w:r>
        <w:rPr>
          <w:rFonts w:hint="eastAsia" w:ascii="仿宋" w:hAnsi="仿宋" w:eastAsia="仿宋" w:cs="Calibri"/>
          <w:sz w:val="28"/>
          <w:szCs w:val="28"/>
          <w:highlight w:val="none"/>
        </w:rPr>
        <w:t>确保</w:t>
      </w:r>
      <w:r>
        <w:rPr>
          <w:rFonts w:ascii="仿宋" w:hAnsi="仿宋" w:eastAsia="仿宋" w:cs="Calibri"/>
          <w:sz w:val="28"/>
          <w:szCs w:val="28"/>
          <w:highlight w:val="none"/>
        </w:rPr>
        <w:t>甲方操作、维护人员</w:t>
      </w:r>
      <w:r>
        <w:rPr>
          <w:rFonts w:ascii="仿宋" w:hAnsi="仿宋" w:eastAsia="仿宋" w:cs="Calibri"/>
          <w:b/>
          <w:bCs/>
          <w:sz w:val="28"/>
          <w:szCs w:val="28"/>
          <w:highlight w:val="none"/>
        </w:rPr>
        <w:t>（约</w:t>
      </w:r>
      <w:r>
        <w:rPr>
          <w:rFonts w:hint="eastAsia" w:ascii="仿宋" w:hAnsi="仿宋" w:eastAsia="仿宋" w:cs="Calibri"/>
          <w:b/>
          <w:bCs/>
          <w:sz w:val="28"/>
          <w:szCs w:val="28"/>
          <w:highlight w:val="none"/>
          <w:u w:val="single"/>
        </w:rPr>
        <w:t xml:space="preserve">  </w:t>
      </w:r>
      <w:r>
        <w:rPr>
          <w:rFonts w:ascii="仿宋" w:hAnsi="仿宋" w:eastAsia="仿宋" w:cs="Calibri"/>
          <w:b/>
          <w:bCs/>
          <w:sz w:val="28"/>
          <w:szCs w:val="28"/>
          <w:highlight w:val="none"/>
        </w:rPr>
        <w:t>人）</w:t>
      </w:r>
      <w:r>
        <w:rPr>
          <w:rFonts w:ascii="仿宋" w:hAnsi="仿宋" w:eastAsia="仿宋" w:cs="Calibri"/>
          <w:sz w:val="28"/>
          <w:szCs w:val="28"/>
          <w:highlight w:val="none"/>
        </w:rPr>
        <w:t>掌握操作使用、维护保养及其他必备知识。甲方要求派遣专业技术人员参与项目实施的，在项目整体实施及质保期内，随时向甲方技术人员讲解技术和实施方案。培训费用已包含在合同总价内。</w:t>
      </w:r>
    </w:p>
    <w:p w14:paraId="71C958F6">
      <w:pPr>
        <w:tabs>
          <w:tab w:val="left" w:pos="480"/>
        </w:tabs>
        <w:spacing w:line="400" w:lineRule="exact"/>
        <w:ind w:firstLine="562" w:firstLineChars="200"/>
        <w:rPr>
          <w:rFonts w:ascii="仿宋" w:hAnsi="仿宋" w:eastAsia="仿宋"/>
          <w:b/>
          <w:sz w:val="28"/>
          <w:szCs w:val="28"/>
          <w:highlight w:val="none"/>
        </w:rPr>
      </w:pPr>
      <w:r>
        <w:rPr>
          <w:rFonts w:hint="eastAsia" w:ascii="仿宋" w:hAnsi="仿宋" w:eastAsia="仿宋"/>
          <w:b/>
          <w:sz w:val="28"/>
          <w:szCs w:val="28"/>
          <w:highlight w:val="none"/>
        </w:rPr>
        <w:t>十、技术与服务</w:t>
      </w:r>
    </w:p>
    <w:p w14:paraId="75F19F36">
      <w:pPr>
        <w:tabs>
          <w:tab w:val="left" w:pos="480"/>
        </w:tabs>
        <w:spacing w:line="400" w:lineRule="exact"/>
        <w:ind w:firstLine="280" w:firstLineChars="100"/>
        <w:rPr>
          <w:rFonts w:ascii="仿宋" w:hAnsi="仿宋" w:eastAsia="仿宋"/>
          <w:sz w:val="28"/>
          <w:szCs w:val="28"/>
          <w:highlight w:val="none"/>
        </w:rPr>
      </w:pPr>
      <w:r>
        <w:rPr>
          <w:rFonts w:hint="eastAsia" w:ascii="仿宋" w:hAnsi="仿宋" w:eastAsia="仿宋"/>
          <w:sz w:val="28"/>
          <w:szCs w:val="28"/>
          <w:highlight w:val="none"/>
        </w:rPr>
        <w:t>（一）</w:t>
      </w:r>
      <w:r>
        <w:rPr>
          <w:rFonts w:hint="eastAsia" w:ascii="仿宋" w:hAnsi="仿宋" w:eastAsia="仿宋" w:cs="宋体"/>
          <w:sz w:val="28"/>
          <w:szCs w:val="28"/>
          <w:highlight w:val="none"/>
        </w:rPr>
        <w:t>技术资料包括：</w:t>
      </w:r>
    </w:p>
    <w:p w14:paraId="1089DB5B">
      <w:pPr>
        <w:tabs>
          <w:tab w:val="left" w:pos="480"/>
        </w:tabs>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1、货物合格证；</w:t>
      </w:r>
    </w:p>
    <w:p w14:paraId="5FB0D841">
      <w:pPr>
        <w:pStyle w:val="9"/>
        <w:ind w:firstLine="561"/>
        <w:rPr>
          <w:highlight w:val="none"/>
        </w:rPr>
      </w:pPr>
      <w:r>
        <w:rPr>
          <w:rFonts w:hint="eastAsia"/>
          <w:highlight w:val="none"/>
        </w:rPr>
        <w:t>2、货物使用说明书（中文）；</w:t>
      </w:r>
    </w:p>
    <w:p w14:paraId="6306198B">
      <w:pPr>
        <w:pStyle w:val="9"/>
        <w:ind w:firstLine="561"/>
        <w:rPr>
          <w:highlight w:val="none"/>
        </w:rPr>
      </w:pPr>
      <w:r>
        <w:rPr>
          <w:rFonts w:hint="eastAsia"/>
          <w:highlight w:val="none"/>
        </w:rPr>
        <w:t>3、项目峻工资料、检验测试报告；</w:t>
      </w:r>
    </w:p>
    <w:p w14:paraId="25BA7D6E">
      <w:pPr>
        <w:tabs>
          <w:tab w:val="left" w:pos="480"/>
        </w:tabs>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4、进口货物商检证明和报关单；</w:t>
      </w:r>
    </w:p>
    <w:p w14:paraId="3922AB10">
      <w:pPr>
        <w:tabs>
          <w:tab w:val="left" w:pos="480"/>
        </w:tabs>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5、其它资料。</w:t>
      </w:r>
    </w:p>
    <w:p w14:paraId="09329915">
      <w:pPr>
        <w:tabs>
          <w:tab w:val="left" w:pos="480"/>
        </w:tabs>
        <w:spacing w:line="400" w:lineRule="exact"/>
        <w:ind w:firstLine="280" w:firstLineChars="100"/>
        <w:rPr>
          <w:rFonts w:ascii="仿宋" w:hAnsi="仿宋" w:eastAsia="仿宋"/>
          <w:sz w:val="28"/>
          <w:szCs w:val="28"/>
          <w:highlight w:val="none"/>
        </w:rPr>
      </w:pPr>
      <w:r>
        <w:rPr>
          <w:rFonts w:hint="eastAsia" w:ascii="仿宋" w:hAnsi="仿宋" w:eastAsia="仿宋"/>
          <w:sz w:val="28"/>
          <w:szCs w:val="28"/>
          <w:highlight w:val="none"/>
        </w:rPr>
        <w:t>（二）服务承诺：以招标投标文件、澄清表（函）、合同和随货物的相关文件为准。</w:t>
      </w:r>
    </w:p>
    <w:p w14:paraId="29AFABBF">
      <w:pPr>
        <w:tabs>
          <w:tab w:val="left" w:pos="480"/>
        </w:tabs>
        <w:spacing w:line="400" w:lineRule="exact"/>
        <w:ind w:firstLine="562" w:firstLineChars="200"/>
        <w:rPr>
          <w:rFonts w:ascii="仿宋" w:hAnsi="仿宋" w:eastAsia="仿宋"/>
          <w:b/>
          <w:sz w:val="28"/>
          <w:szCs w:val="28"/>
          <w:highlight w:val="none"/>
        </w:rPr>
      </w:pPr>
      <w:r>
        <w:rPr>
          <w:rFonts w:hint="eastAsia" w:ascii="仿宋" w:hAnsi="仿宋" w:eastAsia="仿宋"/>
          <w:b/>
          <w:sz w:val="28"/>
          <w:szCs w:val="28"/>
          <w:highlight w:val="none"/>
        </w:rPr>
        <w:t>十一、违约责任</w:t>
      </w:r>
    </w:p>
    <w:p w14:paraId="40107244">
      <w:pPr>
        <w:tabs>
          <w:tab w:val="left" w:pos="480"/>
        </w:tabs>
        <w:spacing w:line="400" w:lineRule="exact"/>
        <w:ind w:firstLine="280" w:firstLineChars="100"/>
        <w:rPr>
          <w:rFonts w:ascii="仿宋" w:hAnsi="仿宋" w:eastAsia="仿宋" w:cs="Calibri"/>
          <w:sz w:val="28"/>
          <w:szCs w:val="28"/>
          <w:highlight w:val="none"/>
        </w:rPr>
      </w:pPr>
      <w:r>
        <w:rPr>
          <w:rFonts w:hint="eastAsia" w:ascii="仿宋" w:hAnsi="仿宋" w:eastAsia="仿宋" w:cs="Calibri"/>
          <w:sz w:val="28"/>
          <w:szCs w:val="28"/>
          <w:highlight w:val="none"/>
        </w:rPr>
        <w:t>（一）按《民法典》《政府采购法》等相关规定和本合同的约定执行。</w:t>
      </w:r>
    </w:p>
    <w:p w14:paraId="57F01504">
      <w:pPr>
        <w:tabs>
          <w:tab w:val="left" w:pos="480"/>
        </w:tabs>
        <w:spacing w:line="400" w:lineRule="exact"/>
        <w:ind w:firstLine="280" w:firstLineChars="100"/>
        <w:rPr>
          <w:rFonts w:ascii="仿宋" w:hAnsi="仿宋" w:eastAsia="仿宋" w:cs="Calibri"/>
          <w:sz w:val="28"/>
          <w:szCs w:val="28"/>
          <w:highlight w:val="none"/>
        </w:rPr>
      </w:pPr>
      <w:r>
        <w:rPr>
          <w:rFonts w:hint="eastAsia" w:ascii="仿宋" w:hAnsi="仿宋" w:eastAsia="仿宋" w:cs="Calibri"/>
          <w:sz w:val="28"/>
          <w:szCs w:val="28"/>
          <w:highlight w:val="none"/>
        </w:rPr>
        <w:t>（二）乙方未按本合同的约定提供货物的，应承担违约责任、赔偿甲方的损失，且甲方有权解除本合同、有权决定是否退换货；若退货的，乙方除了承担以上责任外，还应返还甲方支付的所有款项；若换货的，乙方必须于</w:t>
      </w:r>
      <w:r>
        <w:rPr>
          <w:rFonts w:hint="eastAsia" w:ascii="仿宋" w:hAnsi="仿宋" w:eastAsia="仿宋" w:cs="Calibri"/>
          <w:sz w:val="28"/>
          <w:szCs w:val="28"/>
          <w:highlight w:val="none"/>
          <w:u w:val="single"/>
        </w:rPr>
        <w:t xml:space="preserve"> 2</w:t>
      </w:r>
      <w:r>
        <w:rPr>
          <w:rFonts w:hint="eastAsia" w:ascii="仿宋" w:hAnsi="仿宋" w:eastAsia="仿宋" w:cs="Calibri"/>
          <w:sz w:val="28"/>
          <w:szCs w:val="28"/>
          <w:highlight w:val="none"/>
        </w:rPr>
        <w:t>日内无条件更换，换货的所有费用由乙方承担，且乙方应承担违约责任、赔偿甲方的损失。</w:t>
      </w:r>
    </w:p>
    <w:p w14:paraId="464CA45E">
      <w:pPr>
        <w:tabs>
          <w:tab w:val="left" w:pos="480"/>
        </w:tabs>
        <w:spacing w:line="400" w:lineRule="exact"/>
        <w:ind w:firstLine="280" w:firstLineChars="100"/>
        <w:rPr>
          <w:rFonts w:ascii="仿宋" w:hAnsi="仿宋" w:eastAsia="仿宋" w:cs="Calibri"/>
          <w:sz w:val="28"/>
          <w:szCs w:val="28"/>
          <w:highlight w:val="none"/>
        </w:rPr>
      </w:pPr>
      <w:r>
        <w:rPr>
          <w:rFonts w:hint="eastAsia" w:ascii="仿宋" w:hAnsi="仿宋" w:eastAsia="仿宋" w:cs="Calibri"/>
          <w:sz w:val="28"/>
          <w:szCs w:val="28"/>
          <w:highlight w:val="none"/>
        </w:rPr>
        <w:t>（三）乙方未按本合同的约定提供服务的，应承担违约责任、赔偿甲方的损失，且甲方有权解除本合同。</w:t>
      </w:r>
    </w:p>
    <w:p w14:paraId="693E54FE">
      <w:pPr>
        <w:tabs>
          <w:tab w:val="left" w:pos="480"/>
        </w:tabs>
        <w:spacing w:line="400" w:lineRule="exact"/>
        <w:ind w:firstLine="280" w:firstLineChars="100"/>
        <w:rPr>
          <w:rFonts w:ascii="仿宋" w:hAnsi="仿宋" w:eastAsia="仿宋" w:cs="Calibri"/>
          <w:sz w:val="28"/>
          <w:szCs w:val="28"/>
          <w:highlight w:val="none"/>
        </w:rPr>
      </w:pPr>
      <w:r>
        <w:rPr>
          <w:rFonts w:hint="eastAsia" w:ascii="仿宋" w:hAnsi="仿宋" w:eastAsia="仿宋" w:cs="Calibri"/>
          <w:sz w:val="28"/>
          <w:szCs w:val="28"/>
          <w:highlight w:val="none"/>
        </w:rPr>
        <w:t>（四）乙方逾期交货的，每逾期一日，按照合同总金额的1%承担违约责任；逾期交货30天以上的，甲方有权解除本合同，乙方除承担违约责任外，还应赔偿甲方的损失。</w:t>
      </w:r>
    </w:p>
    <w:p w14:paraId="59E2B984">
      <w:pPr>
        <w:tabs>
          <w:tab w:val="left" w:pos="480"/>
        </w:tabs>
        <w:spacing w:line="400" w:lineRule="exact"/>
        <w:ind w:firstLine="280" w:firstLineChars="100"/>
        <w:rPr>
          <w:rFonts w:ascii="仿宋" w:hAnsi="仿宋" w:eastAsia="仿宋" w:cs="Calibri"/>
          <w:sz w:val="28"/>
          <w:szCs w:val="28"/>
          <w:highlight w:val="none"/>
        </w:rPr>
      </w:pPr>
      <w:r>
        <w:rPr>
          <w:rFonts w:hint="eastAsia" w:ascii="仿宋" w:hAnsi="仿宋" w:eastAsia="仿宋" w:cs="Calibri"/>
          <w:sz w:val="28"/>
          <w:szCs w:val="28"/>
          <w:highlight w:val="none"/>
        </w:rPr>
        <w:t>（五）甲方未按照本合同约定支付价款的，甲方应承担违约责任。</w:t>
      </w:r>
    </w:p>
    <w:p w14:paraId="508FB5E2">
      <w:pPr>
        <w:tabs>
          <w:tab w:val="left" w:pos="480"/>
        </w:tabs>
        <w:spacing w:line="400" w:lineRule="exact"/>
        <w:ind w:firstLine="280" w:firstLineChars="100"/>
        <w:rPr>
          <w:rFonts w:ascii="仿宋" w:hAnsi="仿宋" w:eastAsia="仿宋" w:cs="Calibri"/>
          <w:sz w:val="28"/>
          <w:szCs w:val="28"/>
          <w:highlight w:val="none"/>
        </w:rPr>
      </w:pPr>
      <w:r>
        <w:rPr>
          <w:rFonts w:hint="eastAsia" w:ascii="仿宋" w:hAnsi="仿宋" w:eastAsia="仿宋" w:cs="Calibri"/>
          <w:sz w:val="28"/>
          <w:szCs w:val="28"/>
          <w:highlight w:val="none"/>
        </w:rPr>
        <w:t>（六）本合同所涉“违约责任”为支付合同总价款3</w:t>
      </w:r>
      <w:r>
        <w:rPr>
          <w:rFonts w:ascii="仿宋" w:hAnsi="仿宋" w:eastAsia="仿宋" w:cs="Calibri"/>
          <w:sz w:val="28"/>
          <w:szCs w:val="28"/>
          <w:highlight w:val="none"/>
        </w:rPr>
        <w:t>0%</w:t>
      </w:r>
      <w:r>
        <w:rPr>
          <w:rFonts w:hint="eastAsia" w:ascii="仿宋" w:hAnsi="仿宋" w:eastAsia="仿宋" w:cs="Calibri"/>
          <w:sz w:val="28"/>
          <w:szCs w:val="28"/>
          <w:highlight w:val="none"/>
        </w:rPr>
        <w:t>的违约金；本合同所涉“赔偿甲方的损失”包括但不限于甲方重新采购产生的所有费用、经营损失、甲方维权费用</w:t>
      </w:r>
      <w:r>
        <w:rPr>
          <w:rFonts w:hint="eastAsia" w:ascii="仿宋" w:hAnsi="仿宋" w:eastAsia="仿宋" w:cs="宋体"/>
          <w:sz w:val="28"/>
          <w:szCs w:val="28"/>
          <w:highlight w:val="none"/>
        </w:rPr>
        <w:t>（如诉讼费、保全费、公证费、律师费）</w:t>
      </w:r>
      <w:r>
        <w:rPr>
          <w:rFonts w:hint="eastAsia" w:ascii="仿宋" w:hAnsi="仿宋" w:eastAsia="仿宋" w:cs="Calibri"/>
          <w:sz w:val="28"/>
          <w:szCs w:val="28"/>
          <w:highlight w:val="none"/>
        </w:rPr>
        <w:t>等直接损失和间接损失，且甲方的损失至少为本合同总价款的1</w:t>
      </w:r>
      <w:r>
        <w:rPr>
          <w:rFonts w:ascii="仿宋" w:hAnsi="仿宋" w:eastAsia="仿宋" w:cs="Calibri"/>
          <w:sz w:val="28"/>
          <w:szCs w:val="28"/>
          <w:highlight w:val="none"/>
        </w:rPr>
        <w:t>0</w:t>
      </w:r>
      <w:r>
        <w:rPr>
          <w:rFonts w:hint="eastAsia" w:ascii="仿宋" w:hAnsi="仿宋" w:eastAsia="仿宋" w:cs="Calibri"/>
          <w:sz w:val="28"/>
          <w:szCs w:val="28"/>
          <w:highlight w:val="none"/>
        </w:rPr>
        <w:t>%。</w:t>
      </w:r>
    </w:p>
    <w:p w14:paraId="684FB992">
      <w:pPr>
        <w:tabs>
          <w:tab w:val="left" w:pos="480"/>
        </w:tabs>
        <w:spacing w:line="400" w:lineRule="exact"/>
        <w:ind w:firstLine="280" w:firstLineChars="100"/>
        <w:rPr>
          <w:rFonts w:ascii="仿宋" w:hAnsi="仿宋" w:eastAsia="仿宋" w:cs="Calibri"/>
          <w:sz w:val="28"/>
          <w:szCs w:val="28"/>
          <w:highlight w:val="none"/>
        </w:rPr>
      </w:pPr>
      <w:r>
        <w:rPr>
          <w:rFonts w:hint="eastAsia" w:ascii="仿宋" w:hAnsi="仿宋" w:eastAsia="仿宋" w:cs="Calibri"/>
          <w:sz w:val="28"/>
          <w:szCs w:val="28"/>
          <w:highlight w:val="none"/>
        </w:rPr>
        <w:t>（七）本合同所涉违约金及赔偿甲方的损失，甲方均可直接从履约保证金中扣减。</w:t>
      </w:r>
    </w:p>
    <w:p w14:paraId="72597989">
      <w:pPr>
        <w:tabs>
          <w:tab w:val="left" w:pos="480"/>
        </w:tabs>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（八）解除合同的，自书面解除通知到达对方即解除。</w:t>
      </w:r>
    </w:p>
    <w:p w14:paraId="78720C01">
      <w:pPr>
        <w:pStyle w:val="4"/>
        <w:ind w:firstLine="560" w:firstLineChars="200"/>
        <w:rPr>
          <w:rFonts w:ascii="仿宋" w:hAnsi="仿宋" w:eastAsia="仿宋"/>
          <w:sz w:val="28"/>
          <w:szCs w:val="28"/>
          <w:highlight w:val="none"/>
        </w:rPr>
      </w:pPr>
      <w:r>
        <w:rPr>
          <w:rFonts w:hint="eastAsia" w:ascii="仿宋" w:hAnsi="仿宋" w:eastAsia="仿宋"/>
          <w:sz w:val="28"/>
          <w:szCs w:val="28"/>
          <w:highlight w:val="none"/>
        </w:rPr>
        <w:t>（九）双方拟定的其他条款。</w:t>
      </w:r>
    </w:p>
    <w:p w14:paraId="1158AAAE">
      <w:pPr>
        <w:tabs>
          <w:tab w:val="left" w:pos="480"/>
        </w:tabs>
        <w:spacing w:line="400" w:lineRule="exact"/>
        <w:ind w:firstLine="562" w:firstLineChars="200"/>
        <w:rPr>
          <w:rFonts w:ascii="仿宋" w:hAnsi="仿宋" w:eastAsia="仿宋"/>
          <w:b/>
          <w:sz w:val="28"/>
          <w:szCs w:val="28"/>
          <w:highlight w:val="none"/>
        </w:rPr>
      </w:pPr>
      <w:r>
        <w:rPr>
          <w:rFonts w:hint="eastAsia" w:ascii="仿宋" w:hAnsi="仿宋" w:eastAsia="仿宋"/>
          <w:b/>
          <w:sz w:val="28"/>
          <w:szCs w:val="28"/>
          <w:highlight w:val="none"/>
        </w:rPr>
        <w:t>十二、合同争议解决的方式</w:t>
      </w:r>
    </w:p>
    <w:p w14:paraId="709B2D13">
      <w:pPr>
        <w:tabs>
          <w:tab w:val="left" w:pos="480"/>
        </w:tabs>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 xml:space="preserve">本合同在履行过程中发生的争议，由甲、乙双方当事人协商解决，协商不成的，向 </w:t>
      </w:r>
      <w:r>
        <w:rPr>
          <w:rFonts w:hint="eastAsia" w:ascii="仿宋" w:hAnsi="仿宋" w:eastAsia="仿宋"/>
          <w:sz w:val="28"/>
          <w:szCs w:val="28"/>
          <w:highlight w:val="none"/>
          <w:u w:val="single"/>
        </w:rPr>
        <w:t xml:space="preserve"> 甲方  </w:t>
      </w:r>
      <w:r>
        <w:rPr>
          <w:rFonts w:hint="eastAsia" w:ascii="仿宋" w:hAnsi="仿宋" w:eastAsia="仿宋"/>
          <w:sz w:val="28"/>
          <w:szCs w:val="28"/>
          <w:highlight w:val="none"/>
        </w:rPr>
        <w:t>所在地人民法院起诉。</w:t>
      </w:r>
    </w:p>
    <w:p w14:paraId="18BE7F2A">
      <w:pPr>
        <w:spacing w:line="400" w:lineRule="exact"/>
        <w:ind w:firstLine="482" w:firstLineChars="200"/>
        <w:rPr>
          <w:rFonts w:ascii="仿宋" w:hAnsi="仿宋" w:eastAsia="仿宋"/>
          <w:b/>
          <w:bCs/>
          <w:color w:val="000000"/>
          <w:spacing w:val="-20"/>
          <w:kern w:val="0"/>
          <w:sz w:val="28"/>
          <w:szCs w:val="28"/>
          <w:highlight w:val="none"/>
        </w:rPr>
      </w:pPr>
      <w:r>
        <w:rPr>
          <w:rFonts w:hint="eastAsia" w:ascii="仿宋" w:hAnsi="仿宋" w:eastAsia="仿宋"/>
          <w:b/>
          <w:bCs/>
          <w:color w:val="000000"/>
          <w:spacing w:val="-20"/>
          <w:kern w:val="0"/>
          <w:sz w:val="28"/>
          <w:szCs w:val="28"/>
          <w:highlight w:val="none"/>
        </w:rPr>
        <w:t>十三、合同变更</w:t>
      </w:r>
    </w:p>
    <w:p w14:paraId="60F9E273">
      <w:pPr>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本合同生效后，双方均不得擅自变更；确需变更的，双方应协商一致后签订书面变更协议，变更协议与本合同具有同等效力；但若双方就变更事项未达成一致意见的，仍应继续履行本合同，否则视为违约，应承担相应的违约责任。</w:t>
      </w:r>
    </w:p>
    <w:p w14:paraId="22909A81">
      <w:pPr>
        <w:tabs>
          <w:tab w:val="left" w:pos="480"/>
        </w:tabs>
        <w:spacing w:line="400" w:lineRule="exact"/>
        <w:ind w:firstLine="562" w:firstLineChars="200"/>
        <w:rPr>
          <w:rFonts w:ascii="仿宋" w:hAnsi="仿宋" w:eastAsia="仿宋"/>
          <w:b/>
          <w:sz w:val="28"/>
          <w:szCs w:val="28"/>
          <w:highlight w:val="none"/>
        </w:rPr>
      </w:pPr>
      <w:r>
        <w:rPr>
          <w:rFonts w:hint="eastAsia" w:ascii="仿宋" w:hAnsi="仿宋" w:eastAsia="仿宋"/>
          <w:b/>
          <w:sz w:val="28"/>
          <w:szCs w:val="28"/>
          <w:highlight w:val="none"/>
        </w:rPr>
        <w:t>十四、合同生效</w:t>
      </w:r>
    </w:p>
    <w:p w14:paraId="5E4E1CD5">
      <w:pPr>
        <w:tabs>
          <w:tab w:val="left" w:pos="480"/>
        </w:tabs>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（一） 本合同自甲乙双方签字盖章最终日期之日起生效。</w:t>
      </w:r>
    </w:p>
    <w:p w14:paraId="053D2895">
      <w:pPr>
        <w:tabs>
          <w:tab w:val="left" w:pos="480"/>
        </w:tabs>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（二）本合同一式陆份，甲方执伍份，乙方执壹份，具有同等效力</w:t>
      </w:r>
    </w:p>
    <w:p w14:paraId="0D4648D0">
      <w:pPr>
        <w:tabs>
          <w:tab w:val="left" w:pos="480"/>
        </w:tabs>
        <w:spacing w:line="400" w:lineRule="exact"/>
        <w:ind w:firstLine="562" w:firstLineChars="200"/>
        <w:rPr>
          <w:rFonts w:ascii="仿宋" w:hAnsi="仿宋" w:eastAsia="仿宋"/>
          <w:b/>
          <w:sz w:val="28"/>
          <w:szCs w:val="28"/>
          <w:highlight w:val="none"/>
        </w:rPr>
      </w:pPr>
      <w:r>
        <w:rPr>
          <w:rFonts w:hint="eastAsia" w:ascii="仿宋" w:hAnsi="仿宋" w:eastAsia="仿宋"/>
          <w:b/>
          <w:sz w:val="28"/>
          <w:szCs w:val="28"/>
          <w:highlight w:val="none"/>
        </w:rPr>
        <w:t>十五、其他事项</w:t>
      </w:r>
    </w:p>
    <w:p w14:paraId="373C7BBC">
      <w:pPr>
        <w:tabs>
          <w:tab w:val="left" w:pos="480"/>
        </w:tabs>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（一）西安市财政局政府采购管理处随时检查本合同的履行情况，对采购内容、标准进行调查核实，并对发现的问题进行处理。</w:t>
      </w:r>
    </w:p>
    <w:p w14:paraId="67E2DA60">
      <w:pPr>
        <w:tabs>
          <w:tab w:val="left" w:pos="480"/>
        </w:tabs>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（二）谈判文件、谈判响应文件、澄清表（函）、成交通知书、合同附件均成为本合同不可分割的部分。</w:t>
      </w:r>
    </w:p>
    <w:p w14:paraId="7C46DEC8">
      <w:pPr>
        <w:tabs>
          <w:tab w:val="left" w:pos="480"/>
        </w:tabs>
        <w:spacing w:line="40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（三）本合同未尽事宜，由甲、乙双方协商一致后签订补充协议，补充协议与本合同具有同等法律效力。</w:t>
      </w:r>
    </w:p>
    <w:p w14:paraId="6844903E">
      <w:pPr>
        <w:pStyle w:val="4"/>
        <w:rPr>
          <w:highlight w:val="none"/>
        </w:rPr>
      </w:pPr>
    </w:p>
    <w:p w14:paraId="3E1555CB">
      <w:pPr>
        <w:pStyle w:val="4"/>
        <w:rPr>
          <w:highlight w:val="none"/>
        </w:rPr>
      </w:pPr>
    </w:p>
    <w:p w14:paraId="18A9D1D6">
      <w:pPr>
        <w:pStyle w:val="4"/>
        <w:rPr>
          <w:highlight w:val="none"/>
        </w:rPr>
      </w:pPr>
    </w:p>
    <w:p w14:paraId="5E959D4E">
      <w:pPr>
        <w:pStyle w:val="4"/>
        <w:rPr>
          <w:highlight w:val="none"/>
        </w:rPr>
      </w:pPr>
    </w:p>
    <w:p w14:paraId="350755A8">
      <w:pPr>
        <w:pStyle w:val="4"/>
        <w:rPr>
          <w:highlight w:val="none"/>
        </w:rPr>
      </w:pPr>
    </w:p>
    <w:p w14:paraId="252B6FE6">
      <w:pPr>
        <w:pStyle w:val="4"/>
        <w:rPr>
          <w:highlight w:val="none"/>
        </w:rPr>
      </w:pPr>
    </w:p>
    <w:p w14:paraId="6E2697AC">
      <w:pPr>
        <w:pStyle w:val="4"/>
        <w:rPr>
          <w:highlight w:val="none"/>
        </w:rPr>
      </w:pPr>
    </w:p>
    <w:p w14:paraId="08CCC2DD">
      <w:pPr>
        <w:pStyle w:val="4"/>
        <w:rPr>
          <w:highlight w:val="none"/>
        </w:rPr>
      </w:pPr>
    </w:p>
    <w:p w14:paraId="4BFD9DB4">
      <w:pPr>
        <w:pStyle w:val="4"/>
        <w:rPr>
          <w:highlight w:val="none"/>
        </w:rPr>
      </w:pPr>
    </w:p>
    <w:p w14:paraId="2E9DBAD1">
      <w:pPr>
        <w:pStyle w:val="4"/>
        <w:rPr>
          <w:highlight w:val="none"/>
        </w:rPr>
      </w:pPr>
    </w:p>
    <w:p w14:paraId="2332AD9D">
      <w:pPr>
        <w:pStyle w:val="4"/>
        <w:rPr>
          <w:highlight w:val="none"/>
        </w:rPr>
      </w:pPr>
    </w:p>
    <w:p w14:paraId="1D827FD0">
      <w:pPr>
        <w:pStyle w:val="4"/>
        <w:rPr>
          <w:highlight w:val="none"/>
        </w:rPr>
      </w:pPr>
    </w:p>
    <w:p w14:paraId="4B5EFAF2">
      <w:pPr>
        <w:rPr>
          <w:highlight w:val="none"/>
        </w:rPr>
      </w:pPr>
      <w:r>
        <w:rPr>
          <w:highlight w:val="none"/>
        </w:rPr>
        <w:br w:type="page"/>
      </w:r>
    </w:p>
    <w:p w14:paraId="0906DE21">
      <w:pPr>
        <w:pStyle w:val="4"/>
        <w:rPr>
          <w:highlight w:val="none"/>
        </w:rPr>
      </w:pPr>
    </w:p>
    <w:p w14:paraId="05FCD775">
      <w:pPr>
        <w:pStyle w:val="4"/>
        <w:rPr>
          <w:highlight w:val="none"/>
        </w:rPr>
      </w:pPr>
    </w:p>
    <w:tbl>
      <w:tblPr>
        <w:tblStyle w:val="5"/>
        <w:tblW w:w="8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8"/>
        <w:gridCol w:w="4252"/>
      </w:tblGrid>
      <w:tr w14:paraId="0B14F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4368" w:type="dxa"/>
            <w:tcBorders>
              <w:top w:val="single" w:color="auto" w:sz="4" w:space="0"/>
              <w:left w:val="single" w:color="auto" w:sz="4" w:space="0"/>
              <w:bottom w:val="single" w:color="auto" w:sz="4" w:space="0"/>
              <w:right w:val="single" w:color="auto" w:sz="4" w:space="0"/>
            </w:tcBorders>
            <w:noWrap w:val="0"/>
            <w:vAlign w:val="top"/>
          </w:tcPr>
          <w:p w14:paraId="524EAC8B">
            <w:pPr>
              <w:autoSpaceDE w:val="0"/>
              <w:autoSpaceDN w:val="0"/>
              <w:adjustRightInd w:val="0"/>
              <w:spacing w:line="360" w:lineRule="auto"/>
              <w:jc w:val="center"/>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甲  方</w:t>
            </w:r>
          </w:p>
        </w:tc>
        <w:tc>
          <w:tcPr>
            <w:tcW w:w="4252" w:type="dxa"/>
            <w:tcBorders>
              <w:top w:val="single" w:color="auto" w:sz="4" w:space="0"/>
              <w:left w:val="nil"/>
              <w:bottom w:val="single" w:color="auto" w:sz="4" w:space="0"/>
              <w:right w:val="single" w:color="auto" w:sz="4" w:space="0"/>
            </w:tcBorders>
            <w:noWrap w:val="0"/>
            <w:vAlign w:val="top"/>
          </w:tcPr>
          <w:p w14:paraId="5E94A47B">
            <w:pPr>
              <w:autoSpaceDE w:val="0"/>
              <w:autoSpaceDN w:val="0"/>
              <w:adjustRightInd w:val="0"/>
              <w:spacing w:line="360" w:lineRule="auto"/>
              <w:jc w:val="center"/>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乙  方</w:t>
            </w:r>
          </w:p>
        </w:tc>
      </w:tr>
      <w:tr w14:paraId="60FAC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trPr>
        <w:tc>
          <w:tcPr>
            <w:tcW w:w="4368" w:type="dxa"/>
            <w:tcBorders>
              <w:top w:val="single" w:color="auto" w:sz="4" w:space="0"/>
              <w:left w:val="single" w:color="auto" w:sz="4" w:space="0"/>
              <w:bottom w:val="single" w:color="auto" w:sz="4" w:space="0"/>
              <w:right w:val="single" w:color="auto" w:sz="4" w:space="0"/>
            </w:tcBorders>
            <w:noWrap w:val="0"/>
            <w:vAlign w:val="center"/>
          </w:tcPr>
          <w:p w14:paraId="156C62D2">
            <w:pPr>
              <w:autoSpaceDE w:val="0"/>
              <w:autoSpaceDN w:val="0"/>
              <w:adjustRightInd w:val="0"/>
              <w:spacing w:line="360" w:lineRule="auto"/>
              <w:jc w:val="center"/>
              <w:rPr>
                <w:rFonts w:ascii="仿宋_GB2312" w:hAnsi="宋体" w:eastAsia="仿宋_GB2312"/>
                <w:b/>
                <w:bCs/>
                <w:color w:val="FF0000"/>
                <w:spacing w:val="-20"/>
                <w:kern w:val="0"/>
                <w:sz w:val="24"/>
                <w:szCs w:val="24"/>
                <w:highlight w:val="none"/>
              </w:rPr>
            </w:pPr>
            <w:r>
              <w:rPr>
                <w:rFonts w:hint="eastAsia" w:ascii="仿宋_GB2312" w:hAnsi="宋体" w:eastAsia="仿宋_GB2312"/>
                <w:color w:val="000000"/>
                <w:spacing w:val="-20"/>
                <w:kern w:val="0"/>
                <w:sz w:val="24"/>
                <w:szCs w:val="24"/>
                <w:highlight w:val="none"/>
              </w:rPr>
              <w:t>西安市第九医院</w:t>
            </w:r>
          </w:p>
          <w:p w14:paraId="0B5B1C3B">
            <w:pPr>
              <w:autoSpaceDE w:val="0"/>
              <w:autoSpaceDN w:val="0"/>
              <w:adjustRightInd w:val="0"/>
              <w:spacing w:line="360" w:lineRule="auto"/>
              <w:ind w:firstLine="1900" w:firstLineChars="950"/>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（盖章）</w:t>
            </w:r>
          </w:p>
        </w:tc>
        <w:tc>
          <w:tcPr>
            <w:tcW w:w="4252" w:type="dxa"/>
            <w:tcBorders>
              <w:top w:val="single" w:color="auto" w:sz="4" w:space="0"/>
              <w:left w:val="nil"/>
              <w:bottom w:val="single" w:color="auto" w:sz="4" w:space="0"/>
              <w:right w:val="single" w:color="auto" w:sz="4" w:space="0"/>
            </w:tcBorders>
            <w:noWrap w:val="0"/>
            <w:vAlign w:val="center"/>
          </w:tcPr>
          <w:p w14:paraId="18E3AFC2">
            <w:pPr>
              <w:autoSpaceDE w:val="0"/>
              <w:autoSpaceDN w:val="0"/>
              <w:adjustRightInd w:val="0"/>
              <w:spacing w:line="400" w:lineRule="exact"/>
              <w:jc w:val="center"/>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成交供应商全称</w:t>
            </w:r>
          </w:p>
          <w:p w14:paraId="073DE848">
            <w:pPr>
              <w:autoSpaceDE w:val="0"/>
              <w:autoSpaceDN w:val="0"/>
              <w:adjustRightInd w:val="0"/>
              <w:spacing w:line="400" w:lineRule="exact"/>
              <w:ind w:firstLine="1400" w:firstLineChars="700"/>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（盖章）</w:t>
            </w:r>
          </w:p>
        </w:tc>
      </w:tr>
      <w:tr w14:paraId="7A284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4368" w:type="dxa"/>
            <w:tcBorders>
              <w:top w:val="single" w:color="auto" w:sz="4" w:space="0"/>
              <w:left w:val="single" w:color="auto" w:sz="4" w:space="0"/>
              <w:bottom w:val="single" w:color="auto" w:sz="4" w:space="0"/>
              <w:right w:val="single" w:color="auto" w:sz="4" w:space="0"/>
            </w:tcBorders>
            <w:noWrap w:val="0"/>
            <w:vAlign w:val="top"/>
          </w:tcPr>
          <w:p w14:paraId="52315D00">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 xml:space="preserve">地址： </w:t>
            </w:r>
          </w:p>
        </w:tc>
        <w:tc>
          <w:tcPr>
            <w:tcW w:w="4252" w:type="dxa"/>
            <w:tcBorders>
              <w:top w:val="single" w:color="auto" w:sz="4" w:space="0"/>
              <w:left w:val="nil"/>
              <w:bottom w:val="single" w:color="auto" w:sz="4" w:space="0"/>
              <w:right w:val="single" w:color="auto" w:sz="4" w:space="0"/>
            </w:tcBorders>
            <w:noWrap w:val="0"/>
            <w:vAlign w:val="top"/>
          </w:tcPr>
          <w:p w14:paraId="2A8EDAF3">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地址：</w:t>
            </w:r>
          </w:p>
        </w:tc>
      </w:tr>
      <w:tr w14:paraId="2186E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368" w:type="dxa"/>
            <w:tcBorders>
              <w:top w:val="single" w:color="auto" w:sz="4" w:space="0"/>
              <w:left w:val="single" w:color="auto" w:sz="4" w:space="0"/>
              <w:bottom w:val="single" w:color="auto" w:sz="4" w:space="0"/>
              <w:right w:val="single" w:color="auto" w:sz="4" w:space="0"/>
            </w:tcBorders>
            <w:noWrap w:val="0"/>
            <w:vAlign w:val="top"/>
          </w:tcPr>
          <w:p w14:paraId="2A34A262">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邮编：</w:t>
            </w:r>
          </w:p>
        </w:tc>
        <w:tc>
          <w:tcPr>
            <w:tcW w:w="4252" w:type="dxa"/>
            <w:tcBorders>
              <w:top w:val="single" w:color="auto" w:sz="4" w:space="0"/>
              <w:left w:val="nil"/>
              <w:bottom w:val="single" w:color="auto" w:sz="4" w:space="0"/>
              <w:right w:val="single" w:color="auto" w:sz="4" w:space="0"/>
            </w:tcBorders>
            <w:noWrap w:val="0"/>
            <w:vAlign w:val="top"/>
          </w:tcPr>
          <w:p w14:paraId="5C85DB96">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邮编：</w:t>
            </w:r>
          </w:p>
        </w:tc>
      </w:tr>
      <w:tr w14:paraId="0F5DC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4368" w:type="dxa"/>
            <w:tcBorders>
              <w:top w:val="single" w:color="auto" w:sz="4" w:space="0"/>
              <w:left w:val="single" w:color="auto" w:sz="4" w:space="0"/>
              <w:bottom w:val="single" w:color="auto" w:sz="4" w:space="0"/>
              <w:right w:val="single" w:color="auto" w:sz="4" w:space="0"/>
            </w:tcBorders>
            <w:noWrap w:val="0"/>
            <w:vAlign w:val="top"/>
          </w:tcPr>
          <w:p w14:paraId="4D83394D">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 xml:space="preserve">承办人：（签字） </w:t>
            </w:r>
          </w:p>
        </w:tc>
        <w:tc>
          <w:tcPr>
            <w:tcW w:w="4252" w:type="dxa"/>
            <w:tcBorders>
              <w:top w:val="single" w:color="auto" w:sz="4" w:space="0"/>
              <w:left w:val="nil"/>
              <w:bottom w:val="single" w:color="auto" w:sz="4" w:space="0"/>
              <w:right w:val="single" w:color="auto" w:sz="4" w:space="0"/>
            </w:tcBorders>
            <w:noWrap w:val="0"/>
            <w:vAlign w:val="top"/>
          </w:tcPr>
          <w:p w14:paraId="0642F840">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被授权代表：（签字）</w:t>
            </w:r>
          </w:p>
        </w:tc>
      </w:tr>
      <w:tr w14:paraId="5B84B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368" w:type="dxa"/>
            <w:tcBorders>
              <w:top w:val="single" w:color="auto" w:sz="4" w:space="0"/>
              <w:left w:val="single" w:color="auto" w:sz="4" w:space="0"/>
              <w:bottom w:val="single" w:color="auto" w:sz="4" w:space="0"/>
              <w:right w:val="single" w:color="auto" w:sz="4" w:space="0"/>
            </w:tcBorders>
            <w:noWrap w:val="0"/>
            <w:vAlign w:val="top"/>
          </w:tcPr>
          <w:p w14:paraId="1A105F3B">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法定代表人或委托代理人</w:t>
            </w:r>
          </w:p>
          <w:p w14:paraId="0BC66517">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（主管院长）：（签字）</w:t>
            </w:r>
          </w:p>
        </w:tc>
        <w:tc>
          <w:tcPr>
            <w:tcW w:w="4252" w:type="dxa"/>
            <w:tcBorders>
              <w:top w:val="single" w:color="auto" w:sz="4" w:space="0"/>
              <w:left w:val="nil"/>
              <w:bottom w:val="single" w:color="auto" w:sz="4" w:space="0"/>
              <w:right w:val="single" w:color="auto" w:sz="4" w:space="0"/>
            </w:tcBorders>
            <w:noWrap w:val="0"/>
            <w:vAlign w:val="top"/>
          </w:tcPr>
          <w:p w14:paraId="66F61856">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法定代表人：（签字）</w:t>
            </w:r>
          </w:p>
        </w:tc>
      </w:tr>
      <w:tr w14:paraId="499B7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368" w:type="dxa"/>
            <w:tcBorders>
              <w:top w:val="single" w:color="auto" w:sz="4" w:space="0"/>
              <w:left w:val="single" w:color="auto" w:sz="4" w:space="0"/>
              <w:bottom w:val="single" w:color="auto" w:sz="4" w:space="0"/>
              <w:right w:val="single" w:color="auto" w:sz="4" w:space="0"/>
            </w:tcBorders>
            <w:noWrap w:val="0"/>
            <w:vAlign w:val="top"/>
          </w:tcPr>
          <w:p w14:paraId="327DE306">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电话：</w:t>
            </w:r>
          </w:p>
        </w:tc>
        <w:tc>
          <w:tcPr>
            <w:tcW w:w="4252" w:type="dxa"/>
            <w:tcBorders>
              <w:top w:val="single" w:color="auto" w:sz="4" w:space="0"/>
              <w:left w:val="nil"/>
              <w:bottom w:val="single" w:color="auto" w:sz="4" w:space="0"/>
              <w:right w:val="single" w:color="auto" w:sz="4" w:space="0"/>
            </w:tcBorders>
            <w:noWrap w:val="0"/>
            <w:vAlign w:val="top"/>
          </w:tcPr>
          <w:p w14:paraId="46B83F96">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电话：</w:t>
            </w:r>
          </w:p>
        </w:tc>
      </w:tr>
      <w:tr w14:paraId="58E56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4368" w:type="dxa"/>
            <w:tcBorders>
              <w:top w:val="single" w:color="auto" w:sz="4" w:space="0"/>
              <w:left w:val="single" w:color="auto" w:sz="4" w:space="0"/>
              <w:bottom w:val="single" w:color="auto" w:sz="4" w:space="0"/>
              <w:right w:val="single" w:color="auto" w:sz="4" w:space="0"/>
            </w:tcBorders>
            <w:noWrap w:val="0"/>
            <w:vAlign w:val="top"/>
          </w:tcPr>
          <w:p w14:paraId="114E0B21">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开户银行：</w:t>
            </w:r>
          </w:p>
        </w:tc>
        <w:tc>
          <w:tcPr>
            <w:tcW w:w="4252" w:type="dxa"/>
            <w:tcBorders>
              <w:top w:val="single" w:color="auto" w:sz="4" w:space="0"/>
              <w:left w:val="nil"/>
              <w:bottom w:val="single" w:color="auto" w:sz="4" w:space="0"/>
              <w:right w:val="single" w:color="auto" w:sz="4" w:space="0"/>
            </w:tcBorders>
            <w:noWrap w:val="0"/>
            <w:vAlign w:val="top"/>
          </w:tcPr>
          <w:p w14:paraId="4AC2C449">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开户银行：</w:t>
            </w:r>
          </w:p>
        </w:tc>
      </w:tr>
      <w:tr w14:paraId="342E0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368" w:type="dxa"/>
            <w:tcBorders>
              <w:top w:val="single" w:color="auto" w:sz="4" w:space="0"/>
              <w:left w:val="single" w:color="auto" w:sz="4" w:space="0"/>
              <w:bottom w:val="single" w:color="auto" w:sz="4" w:space="0"/>
              <w:right w:val="single" w:color="auto" w:sz="4" w:space="0"/>
            </w:tcBorders>
            <w:noWrap w:val="0"/>
            <w:vAlign w:val="top"/>
          </w:tcPr>
          <w:p w14:paraId="3C265DC9">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帐号：</w:t>
            </w:r>
          </w:p>
        </w:tc>
        <w:tc>
          <w:tcPr>
            <w:tcW w:w="4252" w:type="dxa"/>
            <w:tcBorders>
              <w:top w:val="single" w:color="auto" w:sz="4" w:space="0"/>
              <w:left w:val="nil"/>
              <w:bottom w:val="single" w:color="auto" w:sz="4" w:space="0"/>
              <w:right w:val="single" w:color="auto" w:sz="4" w:space="0"/>
            </w:tcBorders>
            <w:noWrap w:val="0"/>
            <w:vAlign w:val="top"/>
          </w:tcPr>
          <w:p w14:paraId="3DB702A8">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帐号：</w:t>
            </w:r>
          </w:p>
        </w:tc>
      </w:tr>
      <w:tr w14:paraId="1F41B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368" w:type="dxa"/>
            <w:tcBorders>
              <w:top w:val="single" w:color="auto" w:sz="4" w:space="0"/>
              <w:left w:val="single" w:color="auto" w:sz="4" w:space="0"/>
              <w:bottom w:val="single" w:color="auto" w:sz="4" w:space="0"/>
              <w:right w:val="single" w:color="auto" w:sz="4" w:space="0"/>
            </w:tcBorders>
            <w:noWrap w:val="0"/>
            <w:vAlign w:val="top"/>
          </w:tcPr>
          <w:p w14:paraId="1B18F81B">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日期：   年   月   日</w:t>
            </w:r>
          </w:p>
        </w:tc>
        <w:tc>
          <w:tcPr>
            <w:tcW w:w="4252" w:type="dxa"/>
            <w:tcBorders>
              <w:top w:val="single" w:color="auto" w:sz="4" w:space="0"/>
              <w:left w:val="nil"/>
              <w:bottom w:val="single" w:color="auto" w:sz="4" w:space="0"/>
              <w:right w:val="single" w:color="auto" w:sz="4" w:space="0"/>
            </w:tcBorders>
            <w:noWrap w:val="0"/>
            <w:vAlign w:val="top"/>
          </w:tcPr>
          <w:p w14:paraId="687F3A30">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日期：   年   月   日</w:t>
            </w:r>
          </w:p>
        </w:tc>
      </w:tr>
    </w:tbl>
    <w:p w14:paraId="73A5C142">
      <w:pPr>
        <w:tabs>
          <w:tab w:val="left" w:pos="675"/>
        </w:tabs>
        <w:rPr>
          <w:rFonts w:ascii="宋体" w:hAnsi="宋体"/>
          <w:b/>
          <w:sz w:val="32"/>
          <w:szCs w:val="32"/>
          <w:highlight w:val="none"/>
        </w:rPr>
      </w:pPr>
    </w:p>
    <w:p w14:paraId="06DE41E7">
      <w:pPr>
        <w:pStyle w:val="4"/>
        <w:rPr>
          <w:highlight w:val="none"/>
        </w:rPr>
      </w:pPr>
    </w:p>
    <w:p w14:paraId="6B9DCCAD">
      <w:pPr>
        <w:pStyle w:val="4"/>
        <w:rPr>
          <w:highlight w:val="none"/>
        </w:rPr>
      </w:pPr>
    </w:p>
    <w:p w14:paraId="00533AFB">
      <w:pPr>
        <w:pStyle w:val="4"/>
        <w:rPr>
          <w:highlight w:val="none"/>
        </w:rPr>
      </w:pPr>
    </w:p>
    <w:p w14:paraId="77C8E400">
      <w:pPr>
        <w:pStyle w:val="4"/>
        <w:rPr>
          <w:highlight w:val="none"/>
        </w:rPr>
      </w:pPr>
    </w:p>
    <w:p w14:paraId="1E93B146">
      <w:pPr>
        <w:pStyle w:val="4"/>
        <w:rPr>
          <w:highlight w:val="none"/>
        </w:rPr>
      </w:pPr>
    </w:p>
    <w:p w14:paraId="74169600">
      <w:pPr>
        <w:pStyle w:val="4"/>
        <w:rPr>
          <w:highlight w:val="none"/>
        </w:rPr>
      </w:pPr>
    </w:p>
    <w:p w14:paraId="1AF47349">
      <w:pPr>
        <w:pStyle w:val="4"/>
        <w:rPr>
          <w:highlight w:val="none"/>
        </w:rPr>
      </w:pPr>
    </w:p>
    <w:p w14:paraId="414D9B52">
      <w:pPr>
        <w:pStyle w:val="4"/>
        <w:rPr>
          <w:highlight w:val="none"/>
        </w:rPr>
      </w:pPr>
    </w:p>
    <w:p w14:paraId="58078597">
      <w:pPr>
        <w:pStyle w:val="4"/>
        <w:rPr>
          <w:highlight w:val="none"/>
        </w:rPr>
      </w:pPr>
    </w:p>
    <w:p w14:paraId="2E2DFC20">
      <w:pPr>
        <w:pStyle w:val="4"/>
        <w:rPr>
          <w:highlight w:val="none"/>
        </w:rPr>
      </w:pPr>
    </w:p>
    <w:p w14:paraId="14468794">
      <w:pPr>
        <w:pStyle w:val="4"/>
        <w:rPr>
          <w:highlight w:val="none"/>
        </w:rPr>
      </w:pPr>
    </w:p>
    <w:p w14:paraId="7E05C248">
      <w:pPr>
        <w:pStyle w:val="4"/>
        <w:rPr>
          <w:highlight w:val="none"/>
        </w:rPr>
      </w:pPr>
    </w:p>
    <w:p w14:paraId="0AD0B7EE">
      <w:pPr>
        <w:pStyle w:val="4"/>
        <w:rPr>
          <w:highlight w:val="none"/>
        </w:rPr>
      </w:pPr>
    </w:p>
    <w:p w14:paraId="165B0AE1">
      <w:pPr>
        <w:pStyle w:val="4"/>
        <w:rPr>
          <w:highlight w:val="none"/>
        </w:rPr>
      </w:pPr>
    </w:p>
    <w:p w14:paraId="14F86B60">
      <w:pPr>
        <w:pStyle w:val="4"/>
        <w:rPr>
          <w:highlight w:val="none"/>
        </w:rPr>
      </w:pPr>
    </w:p>
    <w:p w14:paraId="312A5492">
      <w:pPr>
        <w:pStyle w:val="4"/>
        <w:rPr>
          <w:highlight w:val="none"/>
        </w:rPr>
      </w:pPr>
    </w:p>
    <w:p w14:paraId="78156059">
      <w:pPr>
        <w:rPr>
          <w:rFonts w:hint="eastAsia" w:ascii="宋体" w:hAnsi="宋体"/>
          <w:b/>
          <w:sz w:val="32"/>
          <w:szCs w:val="32"/>
          <w:highlight w:val="none"/>
        </w:rPr>
      </w:pPr>
      <w:r>
        <w:rPr>
          <w:rFonts w:hint="eastAsia" w:ascii="宋体" w:hAnsi="宋体"/>
          <w:b/>
          <w:sz w:val="32"/>
          <w:szCs w:val="32"/>
          <w:highlight w:val="none"/>
        </w:rPr>
        <w:br w:type="page"/>
      </w:r>
    </w:p>
    <w:p w14:paraId="42EB59C9">
      <w:pPr>
        <w:tabs>
          <w:tab w:val="left" w:pos="675"/>
        </w:tabs>
        <w:rPr>
          <w:rFonts w:ascii="宋体" w:hAnsi="宋体"/>
          <w:b/>
          <w:sz w:val="32"/>
          <w:szCs w:val="32"/>
          <w:highlight w:val="none"/>
        </w:rPr>
      </w:pPr>
      <w:r>
        <w:rPr>
          <w:rFonts w:hint="eastAsia" w:ascii="宋体" w:hAnsi="宋体"/>
          <w:b/>
          <w:sz w:val="32"/>
          <w:szCs w:val="32"/>
          <w:highlight w:val="none"/>
        </w:rPr>
        <w:t>附件</w:t>
      </w:r>
    </w:p>
    <w:p w14:paraId="542A9345">
      <w:pPr>
        <w:tabs>
          <w:tab w:val="left" w:pos="675"/>
        </w:tabs>
        <w:jc w:val="center"/>
        <w:rPr>
          <w:rFonts w:ascii="宋体" w:hAnsi="宋体"/>
          <w:b/>
          <w:sz w:val="32"/>
          <w:szCs w:val="32"/>
          <w:highlight w:val="none"/>
        </w:rPr>
      </w:pPr>
      <w:r>
        <w:rPr>
          <w:rFonts w:hint="eastAsia" w:ascii="宋体" w:hAnsi="宋体"/>
          <w:b/>
          <w:sz w:val="32"/>
          <w:szCs w:val="32"/>
          <w:highlight w:val="none"/>
          <w:u w:val="single"/>
        </w:rPr>
        <w:t>（项目名称）（标段名称）</w:t>
      </w:r>
      <w:r>
        <w:rPr>
          <w:rFonts w:hint="eastAsia" w:ascii="宋体" w:hAnsi="宋体"/>
          <w:b/>
          <w:sz w:val="32"/>
          <w:szCs w:val="32"/>
          <w:highlight w:val="none"/>
        </w:rPr>
        <w:t>配置清单</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2631"/>
        <w:gridCol w:w="1710"/>
        <w:gridCol w:w="1418"/>
        <w:gridCol w:w="1134"/>
        <w:gridCol w:w="1347"/>
      </w:tblGrid>
      <w:tr w14:paraId="1AE43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center"/>
          </w:tcPr>
          <w:p w14:paraId="7617A7EC">
            <w:pPr>
              <w:tabs>
                <w:tab w:val="left" w:pos="480"/>
              </w:tabs>
              <w:jc w:val="center"/>
              <w:rPr>
                <w:rFonts w:ascii="宋体" w:hAnsi="宋体"/>
                <w:szCs w:val="21"/>
                <w:highlight w:val="none"/>
              </w:rPr>
            </w:pPr>
            <w:r>
              <w:rPr>
                <w:rFonts w:hint="eastAsia" w:ascii="宋体" w:hAnsi="宋体"/>
                <w:szCs w:val="21"/>
                <w:highlight w:val="none"/>
              </w:rPr>
              <w:t>序号</w:t>
            </w:r>
          </w:p>
        </w:tc>
        <w:tc>
          <w:tcPr>
            <w:tcW w:w="2631" w:type="dxa"/>
            <w:tcBorders>
              <w:top w:val="single" w:color="auto" w:sz="4" w:space="0"/>
              <w:left w:val="single" w:color="auto" w:sz="4" w:space="0"/>
              <w:bottom w:val="single" w:color="auto" w:sz="4" w:space="0"/>
              <w:right w:val="single" w:color="auto" w:sz="4" w:space="0"/>
            </w:tcBorders>
            <w:noWrap/>
            <w:vAlign w:val="center"/>
          </w:tcPr>
          <w:p w14:paraId="6983A71D">
            <w:pPr>
              <w:tabs>
                <w:tab w:val="left" w:pos="480"/>
              </w:tabs>
              <w:jc w:val="center"/>
              <w:rPr>
                <w:rFonts w:ascii="宋体" w:hAnsi="宋体"/>
                <w:szCs w:val="21"/>
                <w:highlight w:val="none"/>
              </w:rPr>
            </w:pPr>
            <w:r>
              <w:rPr>
                <w:rFonts w:hint="eastAsia" w:ascii="宋体" w:hAnsi="宋体"/>
                <w:szCs w:val="21"/>
                <w:highlight w:val="none"/>
              </w:rPr>
              <w:t>货物名称</w:t>
            </w:r>
          </w:p>
        </w:tc>
        <w:tc>
          <w:tcPr>
            <w:tcW w:w="1710" w:type="dxa"/>
            <w:tcBorders>
              <w:top w:val="single" w:color="auto" w:sz="4" w:space="0"/>
              <w:left w:val="single" w:color="auto" w:sz="4" w:space="0"/>
              <w:bottom w:val="single" w:color="auto" w:sz="4" w:space="0"/>
              <w:right w:val="single" w:color="auto" w:sz="4" w:space="0"/>
            </w:tcBorders>
            <w:noWrap/>
            <w:vAlign w:val="center"/>
          </w:tcPr>
          <w:p w14:paraId="06E7AAF7">
            <w:pPr>
              <w:tabs>
                <w:tab w:val="left" w:pos="480"/>
              </w:tabs>
              <w:jc w:val="center"/>
              <w:rPr>
                <w:rFonts w:ascii="宋体" w:hAnsi="宋体"/>
                <w:szCs w:val="21"/>
                <w:highlight w:val="none"/>
              </w:rPr>
            </w:pPr>
            <w:r>
              <w:rPr>
                <w:rFonts w:hint="eastAsia" w:ascii="宋体" w:hAnsi="宋体"/>
                <w:szCs w:val="21"/>
                <w:highlight w:val="none"/>
              </w:rPr>
              <w:t>规格参数</w:t>
            </w:r>
          </w:p>
        </w:tc>
        <w:tc>
          <w:tcPr>
            <w:tcW w:w="1418" w:type="dxa"/>
            <w:tcBorders>
              <w:top w:val="single" w:color="auto" w:sz="4" w:space="0"/>
              <w:left w:val="single" w:color="auto" w:sz="4" w:space="0"/>
              <w:bottom w:val="single" w:color="auto" w:sz="4" w:space="0"/>
              <w:right w:val="single" w:color="auto" w:sz="4" w:space="0"/>
            </w:tcBorders>
            <w:noWrap/>
            <w:vAlign w:val="center"/>
          </w:tcPr>
          <w:p w14:paraId="6D60E5BF">
            <w:pPr>
              <w:tabs>
                <w:tab w:val="left" w:pos="480"/>
              </w:tabs>
              <w:jc w:val="center"/>
              <w:rPr>
                <w:rFonts w:ascii="宋体" w:hAnsi="宋体"/>
                <w:szCs w:val="21"/>
                <w:highlight w:val="none"/>
              </w:rPr>
            </w:pPr>
            <w:r>
              <w:rPr>
                <w:rFonts w:hint="eastAsia" w:ascii="宋体" w:hAnsi="宋体"/>
                <w:szCs w:val="21"/>
                <w:highlight w:val="none"/>
              </w:rPr>
              <w:t>数量</w:t>
            </w:r>
          </w:p>
        </w:tc>
        <w:tc>
          <w:tcPr>
            <w:tcW w:w="1134" w:type="dxa"/>
            <w:tcBorders>
              <w:top w:val="single" w:color="auto" w:sz="4" w:space="0"/>
              <w:left w:val="single" w:color="auto" w:sz="4" w:space="0"/>
              <w:bottom w:val="single" w:color="auto" w:sz="4" w:space="0"/>
              <w:right w:val="single" w:color="auto" w:sz="4" w:space="0"/>
            </w:tcBorders>
            <w:noWrap/>
            <w:vAlign w:val="top"/>
          </w:tcPr>
          <w:p w14:paraId="05CC3FE7">
            <w:pPr>
              <w:tabs>
                <w:tab w:val="left" w:pos="480"/>
              </w:tabs>
              <w:jc w:val="center"/>
              <w:rPr>
                <w:rFonts w:ascii="宋体" w:hAnsi="宋体"/>
                <w:szCs w:val="21"/>
                <w:highlight w:val="none"/>
              </w:rPr>
            </w:pPr>
            <w:r>
              <w:rPr>
                <w:rFonts w:hint="eastAsia" w:ascii="宋体" w:hAnsi="宋体"/>
                <w:szCs w:val="21"/>
                <w:highlight w:val="none"/>
              </w:rPr>
              <w:t>产地</w:t>
            </w:r>
          </w:p>
        </w:tc>
        <w:tc>
          <w:tcPr>
            <w:tcW w:w="1347" w:type="dxa"/>
            <w:tcBorders>
              <w:top w:val="single" w:color="auto" w:sz="4" w:space="0"/>
              <w:left w:val="single" w:color="auto" w:sz="4" w:space="0"/>
              <w:bottom w:val="single" w:color="auto" w:sz="4" w:space="0"/>
              <w:right w:val="single" w:color="auto" w:sz="4" w:space="0"/>
            </w:tcBorders>
            <w:noWrap/>
            <w:vAlign w:val="top"/>
          </w:tcPr>
          <w:p w14:paraId="3CCE3CDD">
            <w:pPr>
              <w:tabs>
                <w:tab w:val="left" w:pos="480"/>
              </w:tabs>
              <w:jc w:val="center"/>
              <w:rPr>
                <w:rFonts w:ascii="宋体" w:hAnsi="宋体"/>
                <w:szCs w:val="21"/>
                <w:highlight w:val="none"/>
              </w:rPr>
            </w:pPr>
            <w:r>
              <w:rPr>
                <w:rFonts w:hint="eastAsia" w:ascii="宋体" w:hAnsi="宋体"/>
                <w:szCs w:val="21"/>
                <w:highlight w:val="none"/>
              </w:rPr>
              <w:t>备注</w:t>
            </w:r>
          </w:p>
        </w:tc>
      </w:tr>
      <w:tr w14:paraId="1F0BE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781A6810">
            <w:pPr>
              <w:spacing w:line="440" w:lineRule="exact"/>
              <w:jc w:val="center"/>
              <w:rPr>
                <w:rFonts w:ascii="宋体" w:hAnsi="宋体"/>
                <w:szCs w:val="21"/>
                <w:highlight w:val="none"/>
              </w:rPr>
            </w:pPr>
            <w:r>
              <w:rPr>
                <w:rFonts w:hint="eastAsia" w:ascii="宋体" w:hAnsi="宋体"/>
                <w:highlight w:val="none"/>
              </w:rPr>
              <w:t>1</w:t>
            </w:r>
          </w:p>
        </w:tc>
        <w:tc>
          <w:tcPr>
            <w:tcW w:w="2631" w:type="dxa"/>
            <w:tcBorders>
              <w:top w:val="single" w:color="auto" w:sz="4" w:space="0"/>
              <w:left w:val="single" w:color="auto" w:sz="4" w:space="0"/>
              <w:bottom w:val="single" w:color="auto" w:sz="4" w:space="0"/>
              <w:right w:val="single" w:color="auto" w:sz="4" w:space="0"/>
            </w:tcBorders>
            <w:noWrap/>
            <w:vAlign w:val="bottom"/>
          </w:tcPr>
          <w:p w14:paraId="21E4D285">
            <w:pPr>
              <w:jc w:val="center"/>
              <w:rPr>
                <w:rFonts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3E6198A3">
            <w:pPr>
              <w:jc w:val="center"/>
              <w:rPr>
                <w:rFonts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43C37D85">
            <w:pPr>
              <w:spacing w:line="440" w:lineRule="exact"/>
              <w:jc w:val="center"/>
              <w:rPr>
                <w:rFonts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2DF531D6">
            <w:pPr>
              <w:spacing w:line="440" w:lineRule="exact"/>
              <w:jc w:val="center"/>
              <w:rPr>
                <w:rFonts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ign w:val="top"/>
          </w:tcPr>
          <w:p w14:paraId="482121A7">
            <w:pPr>
              <w:tabs>
                <w:tab w:val="left" w:pos="480"/>
              </w:tabs>
              <w:jc w:val="center"/>
              <w:rPr>
                <w:rFonts w:ascii="宋体" w:hAnsi="宋体"/>
                <w:szCs w:val="21"/>
                <w:highlight w:val="none"/>
              </w:rPr>
            </w:pPr>
          </w:p>
        </w:tc>
      </w:tr>
      <w:tr w14:paraId="559CF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670BB328">
            <w:pPr>
              <w:spacing w:line="440" w:lineRule="exact"/>
              <w:jc w:val="center"/>
              <w:rPr>
                <w:rFonts w:ascii="宋体" w:hAnsi="宋体"/>
                <w:szCs w:val="21"/>
                <w:highlight w:val="none"/>
              </w:rPr>
            </w:pPr>
            <w:r>
              <w:rPr>
                <w:rFonts w:hint="eastAsia" w:ascii="宋体" w:hAnsi="宋体"/>
                <w:highlight w:val="none"/>
              </w:rPr>
              <w:t>2</w:t>
            </w:r>
          </w:p>
        </w:tc>
        <w:tc>
          <w:tcPr>
            <w:tcW w:w="2631" w:type="dxa"/>
            <w:tcBorders>
              <w:top w:val="single" w:color="auto" w:sz="4" w:space="0"/>
              <w:left w:val="single" w:color="auto" w:sz="4" w:space="0"/>
              <w:bottom w:val="single" w:color="auto" w:sz="4" w:space="0"/>
              <w:right w:val="single" w:color="auto" w:sz="4" w:space="0"/>
            </w:tcBorders>
            <w:noWrap/>
            <w:vAlign w:val="bottom"/>
          </w:tcPr>
          <w:p w14:paraId="202ABB78">
            <w:pPr>
              <w:spacing w:line="440" w:lineRule="exact"/>
              <w:jc w:val="center"/>
              <w:rPr>
                <w:rFonts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446F3A75">
            <w:pPr>
              <w:jc w:val="center"/>
              <w:rPr>
                <w:rFonts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6BBC0481">
            <w:pPr>
              <w:spacing w:line="440" w:lineRule="exact"/>
              <w:jc w:val="center"/>
              <w:rPr>
                <w:rFonts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015982DA">
            <w:pPr>
              <w:spacing w:line="440" w:lineRule="exact"/>
              <w:jc w:val="center"/>
              <w:rPr>
                <w:rFonts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ign w:val="top"/>
          </w:tcPr>
          <w:p w14:paraId="3EBD193E">
            <w:pPr>
              <w:tabs>
                <w:tab w:val="left" w:pos="480"/>
              </w:tabs>
              <w:jc w:val="center"/>
              <w:rPr>
                <w:rFonts w:ascii="宋体" w:hAnsi="宋体"/>
                <w:szCs w:val="21"/>
                <w:highlight w:val="none"/>
              </w:rPr>
            </w:pPr>
          </w:p>
        </w:tc>
      </w:tr>
      <w:tr w14:paraId="35829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0CBA2B0A">
            <w:pPr>
              <w:spacing w:line="440" w:lineRule="exact"/>
              <w:jc w:val="center"/>
              <w:rPr>
                <w:rFonts w:ascii="宋体" w:hAnsi="宋体"/>
                <w:szCs w:val="21"/>
                <w:highlight w:val="none"/>
              </w:rPr>
            </w:pPr>
            <w:r>
              <w:rPr>
                <w:rFonts w:hint="eastAsia" w:ascii="宋体" w:hAnsi="宋体"/>
                <w:highlight w:val="none"/>
              </w:rPr>
              <w:t>3</w:t>
            </w:r>
          </w:p>
        </w:tc>
        <w:tc>
          <w:tcPr>
            <w:tcW w:w="2631" w:type="dxa"/>
            <w:tcBorders>
              <w:top w:val="single" w:color="auto" w:sz="4" w:space="0"/>
              <w:left w:val="single" w:color="auto" w:sz="4" w:space="0"/>
              <w:bottom w:val="single" w:color="auto" w:sz="4" w:space="0"/>
              <w:right w:val="single" w:color="auto" w:sz="4" w:space="0"/>
            </w:tcBorders>
            <w:noWrap/>
            <w:vAlign w:val="bottom"/>
          </w:tcPr>
          <w:p w14:paraId="3F9B2D5B">
            <w:pPr>
              <w:spacing w:line="440" w:lineRule="exact"/>
              <w:jc w:val="center"/>
              <w:rPr>
                <w:rFonts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4FFCE919">
            <w:pPr>
              <w:jc w:val="center"/>
              <w:rPr>
                <w:rFonts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408CF096">
            <w:pPr>
              <w:spacing w:line="440" w:lineRule="exact"/>
              <w:jc w:val="center"/>
              <w:rPr>
                <w:rFonts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52C9B018">
            <w:pPr>
              <w:spacing w:line="440" w:lineRule="exact"/>
              <w:jc w:val="center"/>
              <w:rPr>
                <w:rFonts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ign w:val="top"/>
          </w:tcPr>
          <w:p w14:paraId="6145C363">
            <w:pPr>
              <w:tabs>
                <w:tab w:val="left" w:pos="480"/>
              </w:tabs>
              <w:jc w:val="center"/>
              <w:rPr>
                <w:rFonts w:ascii="宋体" w:hAnsi="宋体"/>
                <w:szCs w:val="21"/>
                <w:highlight w:val="none"/>
              </w:rPr>
            </w:pPr>
          </w:p>
        </w:tc>
      </w:tr>
      <w:tr w14:paraId="279E4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7E6C920D">
            <w:pPr>
              <w:spacing w:line="440" w:lineRule="exact"/>
              <w:jc w:val="center"/>
              <w:rPr>
                <w:rFonts w:ascii="宋体" w:hAnsi="宋体"/>
                <w:szCs w:val="21"/>
                <w:highlight w:val="none"/>
              </w:rPr>
            </w:pPr>
            <w:r>
              <w:rPr>
                <w:rFonts w:hint="eastAsia" w:ascii="宋体" w:hAnsi="宋体"/>
                <w:highlight w:val="none"/>
              </w:rPr>
              <w:t>4</w:t>
            </w:r>
          </w:p>
        </w:tc>
        <w:tc>
          <w:tcPr>
            <w:tcW w:w="2631" w:type="dxa"/>
            <w:tcBorders>
              <w:top w:val="single" w:color="auto" w:sz="4" w:space="0"/>
              <w:left w:val="single" w:color="auto" w:sz="4" w:space="0"/>
              <w:bottom w:val="single" w:color="auto" w:sz="4" w:space="0"/>
              <w:right w:val="single" w:color="auto" w:sz="4" w:space="0"/>
            </w:tcBorders>
            <w:noWrap/>
            <w:vAlign w:val="bottom"/>
          </w:tcPr>
          <w:p w14:paraId="101E5D70">
            <w:pPr>
              <w:jc w:val="center"/>
              <w:rPr>
                <w:rFonts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0A2BEADD">
            <w:pPr>
              <w:jc w:val="center"/>
              <w:rPr>
                <w:rFonts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68803EEC">
            <w:pPr>
              <w:spacing w:line="440" w:lineRule="exact"/>
              <w:jc w:val="center"/>
              <w:rPr>
                <w:rFonts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3619E3E6">
            <w:pPr>
              <w:spacing w:line="440" w:lineRule="exact"/>
              <w:jc w:val="center"/>
              <w:rPr>
                <w:rFonts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ign w:val="top"/>
          </w:tcPr>
          <w:p w14:paraId="1642700F">
            <w:pPr>
              <w:tabs>
                <w:tab w:val="left" w:pos="480"/>
              </w:tabs>
              <w:jc w:val="center"/>
              <w:rPr>
                <w:rFonts w:ascii="宋体" w:hAnsi="宋体"/>
                <w:szCs w:val="21"/>
                <w:highlight w:val="none"/>
              </w:rPr>
            </w:pPr>
          </w:p>
        </w:tc>
      </w:tr>
      <w:tr w14:paraId="61616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1D0AC45E">
            <w:pPr>
              <w:spacing w:line="440" w:lineRule="exact"/>
              <w:jc w:val="center"/>
              <w:rPr>
                <w:rFonts w:ascii="宋体" w:hAnsi="宋体"/>
                <w:szCs w:val="21"/>
                <w:highlight w:val="none"/>
              </w:rPr>
            </w:pPr>
            <w:r>
              <w:rPr>
                <w:rFonts w:hint="eastAsia" w:ascii="宋体" w:hAnsi="宋体"/>
                <w:highlight w:val="none"/>
              </w:rPr>
              <w:t>5</w:t>
            </w:r>
          </w:p>
        </w:tc>
        <w:tc>
          <w:tcPr>
            <w:tcW w:w="2631" w:type="dxa"/>
            <w:tcBorders>
              <w:top w:val="single" w:color="auto" w:sz="4" w:space="0"/>
              <w:left w:val="single" w:color="auto" w:sz="4" w:space="0"/>
              <w:bottom w:val="single" w:color="auto" w:sz="4" w:space="0"/>
              <w:right w:val="single" w:color="auto" w:sz="4" w:space="0"/>
            </w:tcBorders>
            <w:noWrap/>
            <w:vAlign w:val="bottom"/>
          </w:tcPr>
          <w:p w14:paraId="2C0A6D19">
            <w:pPr>
              <w:jc w:val="center"/>
              <w:rPr>
                <w:rFonts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6B18BD7B">
            <w:pPr>
              <w:jc w:val="center"/>
              <w:rPr>
                <w:rFonts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503DADF5">
            <w:pPr>
              <w:spacing w:line="440" w:lineRule="exact"/>
              <w:jc w:val="center"/>
              <w:rPr>
                <w:rFonts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6EAAF031">
            <w:pPr>
              <w:spacing w:line="440" w:lineRule="exact"/>
              <w:jc w:val="center"/>
              <w:rPr>
                <w:rFonts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ign w:val="top"/>
          </w:tcPr>
          <w:p w14:paraId="0C6BFBE7">
            <w:pPr>
              <w:tabs>
                <w:tab w:val="left" w:pos="480"/>
              </w:tabs>
              <w:jc w:val="center"/>
              <w:rPr>
                <w:rFonts w:ascii="宋体" w:hAnsi="宋体"/>
                <w:szCs w:val="21"/>
                <w:highlight w:val="none"/>
              </w:rPr>
            </w:pPr>
          </w:p>
        </w:tc>
      </w:tr>
      <w:tr w14:paraId="69CC5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14683430">
            <w:pPr>
              <w:spacing w:line="440" w:lineRule="exact"/>
              <w:jc w:val="center"/>
              <w:rPr>
                <w:rFonts w:ascii="宋体" w:hAnsi="宋体"/>
                <w:szCs w:val="21"/>
                <w:highlight w:val="none"/>
              </w:rPr>
            </w:pPr>
            <w:r>
              <w:rPr>
                <w:rFonts w:hint="eastAsia" w:ascii="宋体" w:hAnsi="宋体"/>
                <w:highlight w:val="none"/>
              </w:rPr>
              <w:t>6</w:t>
            </w:r>
          </w:p>
        </w:tc>
        <w:tc>
          <w:tcPr>
            <w:tcW w:w="2631" w:type="dxa"/>
            <w:tcBorders>
              <w:top w:val="single" w:color="auto" w:sz="4" w:space="0"/>
              <w:left w:val="single" w:color="auto" w:sz="4" w:space="0"/>
              <w:bottom w:val="single" w:color="auto" w:sz="4" w:space="0"/>
              <w:right w:val="single" w:color="auto" w:sz="4" w:space="0"/>
            </w:tcBorders>
            <w:noWrap/>
            <w:vAlign w:val="bottom"/>
          </w:tcPr>
          <w:p w14:paraId="766F1646">
            <w:pPr>
              <w:jc w:val="center"/>
              <w:rPr>
                <w:rFonts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181EB60F">
            <w:pPr>
              <w:jc w:val="center"/>
              <w:rPr>
                <w:rFonts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11DAC404">
            <w:pPr>
              <w:spacing w:line="440" w:lineRule="exact"/>
              <w:jc w:val="center"/>
              <w:rPr>
                <w:rFonts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0F920869">
            <w:pPr>
              <w:spacing w:line="440" w:lineRule="exact"/>
              <w:jc w:val="center"/>
              <w:rPr>
                <w:rFonts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ign w:val="top"/>
          </w:tcPr>
          <w:p w14:paraId="2664EECF">
            <w:pPr>
              <w:tabs>
                <w:tab w:val="left" w:pos="480"/>
              </w:tabs>
              <w:jc w:val="center"/>
              <w:rPr>
                <w:rFonts w:ascii="宋体" w:hAnsi="宋体"/>
                <w:szCs w:val="21"/>
                <w:highlight w:val="none"/>
              </w:rPr>
            </w:pPr>
          </w:p>
        </w:tc>
      </w:tr>
      <w:tr w14:paraId="7D945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4219B349">
            <w:pPr>
              <w:spacing w:line="440" w:lineRule="exact"/>
              <w:jc w:val="center"/>
              <w:rPr>
                <w:rFonts w:ascii="宋体" w:hAnsi="宋体"/>
                <w:szCs w:val="21"/>
                <w:highlight w:val="none"/>
              </w:rPr>
            </w:pPr>
            <w:r>
              <w:rPr>
                <w:rFonts w:hint="eastAsia" w:ascii="宋体" w:hAnsi="宋体"/>
                <w:highlight w:val="none"/>
              </w:rPr>
              <w:t>7</w:t>
            </w:r>
          </w:p>
        </w:tc>
        <w:tc>
          <w:tcPr>
            <w:tcW w:w="2631" w:type="dxa"/>
            <w:tcBorders>
              <w:top w:val="single" w:color="auto" w:sz="4" w:space="0"/>
              <w:left w:val="single" w:color="auto" w:sz="4" w:space="0"/>
              <w:bottom w:val="single" w:color="auto" w:sz="4" w:space="0"/>
              <w:right w:val="single" w:color="auto" w:sz="4" w:space="0"/>
            </w:tcBorders>
            <w:noWrap/>
            <w:vAlign w:val="bottom"/>
          </w:tcPr>
          <w:p w14:paraId="15460F16">
            <w:pPr>
              <w:jc w:val="center"/>
              <w:rPr>
                <w:rFonts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3ECD6AC1">
            <w:pPr>
              <w:jc w:val="center"/>
              <w:rPr>
                <w:rFonts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7301D21C">
            <w:pPr>
              <w:spacing w:line="440" w:lineRule="exact"/>
              <w:jc w:val="center"/>
              <w:rPr>
                <w:rFonts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16537AAB">
            <w:pPr>
              <w:spacing w:line="440" w:lineRule="exact"/>
              <w:jc w:val="center"/>
              <w:rPr>
                <w:rFonts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ign w:val="top"/>
          </w:tcPr>
          <w:p w14:paraId="7CF1D41E">
            <w:pPr>
              <w:tabs>
                <w:tab w:val="left" w:pos="480"/>
              </w:tabs>
              <w:jc w:val="center"/>
              <w:rPr>
                <w:rFonts w:ascii="宋体" w:hAnsi="宋体"/>
                <w:szCs w:val="21"/>
                <w:highlight w:val="none"/>
              </w:rPr>
            </w:pPr>
          </w:p>
        </w:tc>
      </w:tr>
      <w:tr w14:paraId="324F8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226F3F21">
            <w:pPr>
              <w:spacing w:line="440" w:lineRule="exact"/>
              <w:jc w:val="center"/>
              <w:rPr>
                <w:rFonts w:ascii="宋体" w:hAnsi="宋体"/>
                <w:szCs w:val="21"/>
                <w:highlight w:val="none"/>
              </w:rPr>
            </w:pPr>
            <w:r>
              <w:rPr>
                <w:rFonts w:hint="eastAsia" w:ascii="宋体" w:hAnsi="宋体"/>
                <w:highlight w:val="none"/>
              </w:rPr>
              <w:t>8</w:t>
            </w:r>
          </w:p>
        </w:tc>
        <w:tc>
          <w:tcPr>
            <w:tcW w:w="2631" w:type="dxa"/>
            <w:tcBorders>
              <w:top w:val="single" w:color="auto" w:sz="4" w:space="0"/>
              <w:left w:val="single" w:color="auto" w:sz="4" w:space="0"/>
              <w:bottom w:val="single" w:color="auto" w:sz="4" w:space="0"/>
              <w:right w:val="single" w:color="auto" w:sz="4" w:space="0"/>
            </w:tcBorders>
            <w:noWrap/>
            <w:vAlign w:val="bottom"/>
          </w:tcPr>
          <w:p w14:paraId="64BC2ABA">
            <w:pPr>
              <w:jc w:val="center"/>
              <w:rPr>
                <w:rFonts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327DF13F">
            <w:pPr>
              <w:jc w:val="center"/>
              <w:rPr>
                <w:rFonts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12094192">
            <w:pPr>
              <w:spacing w:line="440" w:lineRule="exact"/>
              <w:jc w:val="center"/>
              <w:rPr>
                <w:rFonts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785060AB">
            <w:pPr>
              <w:spacing w:line="440" w:lineRule="exact"/>
              <w:jc w:val="center"/>
              <w:rPr>
                <w:rFonts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ign w:val="top"/>
          </w:tcPr>
          <w:p w14:paraId="7904D1F1">
            <w:pPr>
              <w:tabs>
                <w:tab w:val="left" w:pos="480"/>
              </w:tabs>
              <w:jc w:val="center"/>
              <w:rPr>
                <w:rFonts w:ascii="宋体" w:hAnsi="宋体"/>
                <w:szCs w:val="21"/>
                <w:highlight w:val="none"/>
              </w:rPr>
            </w:pPr>
          </w:p>
        </w:tc>
      </w:tr>
      <w:tr w14:paraId="6BF60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3F53AD05">
            <w:pPr>
              <w:spacing w:line="440" w:lineRule="exact"/>
              <w:jc w:val="center"/>
              <w:rPr>
                <w:rFonts w:ascii="宋体" w:hAnsi="宋体"/>
                <w:szCs w:val="21"/>
                <w:highlight w:val="none"/>
              </w:rPr>
            </w:pPr>
            <w:r>
              <w:rPr>
                <w:rFonts w:hint="eastAsia" w:ascii="宋体" w:hAnsi="宋体"/>
                <w:highlight w:val="none"/>
              </w:rPr>
              <w:t>9</w:t>
            </w:r>
          </w:p>
        </w:tc>
        <w:tc>
          <w:tcPr>
            <w:tcW w:w="2631" w:type="dxa"/>
            <w:tcBorders>
              <w:top w:val="single" w:color="auto" w:sz="4" w:space="0"/>
              <w:left w:val="single" w:color="auto" w:sz="4" w:space="0"/>
              <w:bottom w:val="single" w:color="auto" w:sz="4" w:space="0"/>
              <w:right w:val="single" w:color="auto" w:sz="4" w:space="0"/>
            </w:tcBorders>
            <w:noWrap/>
            <w:vAlign w:val="bottom"/>
          </w:tcPr>
          <w:p w14:paraId="3B332D25">
            <w:pPr>
              <w:spacing w:line="440" w:lineRule="exact"/>
              <w:jc w:val="center"/>
              <w:rPr>
                <w:rFonts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714CB75D">
            <w:pPr>
              <w:jc w:val="center"/>
              <w:rPr>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579772E7">
            <w:pPr>
              <w:spacing w:line="440" w:lineRule="exact"/>
              <w:jc w:val="center"/>
              <w:rPr>
                <w:rFonts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1C4A05FB">
            <w:pPr>
              <w:spacing w:line="440" w:lineRule="exact"/>
              <w:jc w:val="center"/>
              <w:rPr>
                <w:rFonts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ign w:val="top"/>
          </w:tcPr>
          <w:p w14:paraId="3AF2D6BE">
            <w:pPr>
              <w:tabs>
                <w:tab w:val="left" w:pos="480"/>
              </w:tabs>
              <w:jc w:val="center"/>
              <w:rPr>
                <w:rFonts w:ascii="宋体" w:hAnsi="宋体"/>
                <w:szCs w:val="21"/>
                <w:highlight w:val="none"/>
              </w:rPr>
            </w:pPr>
          </w:p>
        </w:tc>
      </w:tr>
      <w:tr w14:paraId="517BC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4ECE557F">
            <w:pPr>
              <w:spacing w:line="440" w:lineRule="exact"/>
              <w:jc w:val="center"/>
              <w:rPr>
                <w:rFonts w:ascii="宋体" w:hAnsi="宋体"/>
                <w:szCs w:val="21"/>
                <w:highlight w:val="none"/>
              </w:rPr>
            </w:pPr>
            <w:r>
              <w:rPr>
                <w:rFonts w:hint="eastAsia" w:ascii="宋体" w:hAnsi="宋体"/>
                <w:highlight w:val="none"/>
              </w:rPr>
              <w:t>10</w:t>
            </w:r>
          </w:p>
        </w:tc>
        <w:tc>
          <w:tcPr>
            <w:tcW w:w="2631" w:type="dxa"/>
            <w:tcBorders>
              <w:top w:val="single" w:color="auto" w:sz="4" w:space="0"/>
              <w:left w:val="single" w:color="auto" w:sz="4" w:space="0"/>
              <w:bottom w:val="single" w:color="auto" w:sz="4" w:space="0"/>
              <w:right w:val="single" w:color="auto" w:sz="4" w:space="0"/>
            </w:tcBorders>
            <w:noWrap/>
            <w:vAlign w:val="bottom"/>
          </w:tcPr>
          <w:p w14:paraId="17E4B84C">
            <w:pPr>
              <w:spacing w:line="440" w:lineRule="exact"/>
              <w:jc w:val="center"/>
              <w:rPr>
                <w:rFonts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7D697E57">
            <w:pPr>
              <w:jc w:val="center"/>
              <w:rPr>
                <w:rFonts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2B7311C4">
            <w:pPr>
              <w:spacing w:line="440" w:lineRule="exact"/>
              <w:jc w:val="center"/>
              <w:rPr>
                <w:rFonts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139D925C">
            <w:pPr>
              <w:spacing w:line="440" w:lineRule="exact"/>
              <w:jc w:val="center"/>
              <w:rPr>
                <w:rFonts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ign w:val="top"/>
          </w:tcPr>
          <w:p w14:paraId="5D7969BA">
            <w:pPr>
              <w:tabs>
                <w:tab w:val="left" w:pos="480"/>
              </w:tabs>
              <w:jc w:val="center"/>
              <w:rPr>
                <w:rFonts w:ascii="宋体" w:hAnsi="宋体"/>
                <w:szCs w:val="21"/>
                <w:highlight w:val="none"/>
              </w:rPr>
            </w:pPr>
          </w:p>
        </w:tc>
      </w:tr>
      <w:tr w14:paraId="17DB2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2B21B6C7">
            <w:pPr>
              <w:spacing w:line="440" w:lineRule="exact"/>
              <w:jc w:val="center"/>
              <w:rPr>
                <w:rFonts w:ascii="宋体" w:hAnsi="宋体"/>
                <w:szCs w:val="21"/>
                <w:highlight w:val="none"/>
              </w:rPr>
            </w:pPr>
            <w:r>
              <w:rPr>
                <w:rFonts w:hint="eastAsia" w:ascii="宋体" w:hAnsi="宋体"/>
                <w:highlight w:val="none"/>
              </w:rPr>
              <w:t>11</w:t>
            </w:r>
          </w:p>
        </w:tc>
        <w:tc>
          <w:tcPr>
            <w:tcW w:w="2631" w:type="dxa"/>
            <w:tcBorders>
              <w:top w:val="single" w:color="auto" w:sz="4" w:space="0"/>
              <w:left w:val="single" w:color="auto" w:sz="4" w:space="0"/>
              <w:bottom w:val="single" w:color="auto" w:sz="4" w:space="0"/>
              <w:right w:val="single" w:color="auto" w:sz="4" w:space="0"/>
            </w:tcBorders>
            <w:noWrap/>
            <w:vAlign w:val="bottom"/>
          </w:tcPr>
          <w:p w14:paraId="597FC320">
            <w:pPr>
              <w:jc w:val="center"/>
              <w:rPr>
                <w:rFonts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31BA8C28">
            <w:pPr>
              <w:jc w:val="center"/>
              <w:rPr>
                <w:rFonts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1219FF6A">
            <w:pPr>
              <w:spacing w:line="440" w:lineRule="exact"/>
              <w:jc w:val="center"/>
              <w:rPr>
                <w:rFonts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25899A37">
            <w:pPr>
              <w:spacing w:line="440" w:lineRule="exact"/>
              <w:jc w:val="center"/>
              <w:rPr>
                <w:rFonts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ign w:val="top"/>
          </w:tcPr>
          <w:p w14:paraId="6C922835">
            <w:pPr>
              <w:tabs>
                <w:tab w:val="left" w:pos="480"/>
              </w:tabs>
              <w:jc w:val="center"/>
              <w:rPr>
                <w:rFonts w:ascii="宋体" w:hAnsi="宋体"/>
                <w:szCs w:val="21"/>
                <w:highlight w:val="none"/>
              </w:rPr>
            </w:pPr>
          </w:p>
        </w:tc>
      </w:tr>
      <w:tr w14:paraId="7AC3E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4AC95B3C">
            <w:pPr>
              <w:spacing w:line="440" w:lineRule="exact"/>
              <w:jc w:val="center"/>
              <w:rPr>
                <w:rFonts w:ascii="宋体" w:hAnsi="宋体"/>
                <w:szCs w:val="21"/>
                <w:highlight w:val="none"/>
              </w:rPr>
            </w:pPr>
            <w:r>
              <w:rPr>
                <w:rFonts w:hint="eastAsia" w:ascii="宋体" w:hAnsi="宋体"/>
                <w:highlight w:val="none"/>
              </w:rPr>
              <w:t>12</w:t>
            </w:r>
          </w:p>
        </w:tc>
        <w:tc>
          <w:tcPr>
            <w:tcW w:w="2631" w:type="dxa"/>
            <w:tcBorders>
              <w:top w:val="single" w:color="auto" w:sz="4" w:space="0"/>
              <w:left w:val="single" w:color="auto" w:sz="4" w:space="0"/>
              <w:bottom w:val="single" w:color="auto" w:sz="4" w:space="0"/>
              <w:right w:val="single" w:color="auto" w:sz="4" w:space="0"/>
            </w:tcBorders>
            <w:noWrap/>
            <w:vAlign w:val="bottom"/>
          </w:tcPr>
          <w:p w14:paraId="1EB7C123">
            <w:pPr>
              <w:jc w:val="center"/>
              <w:rPr>
                <w:rFonts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77472ECA">
            <w:pPr>
              <w:jc w:val="center"/>
              <w:rPr>
                <w:rFonts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1D8A73FD">
            <w:pPr>
              <w:spacing w:line="440" w:lineRule="exact"/>
              <w:jc w:val="center"/>
              <w:rPr>
                <w:rFonts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7BDD5C93">
            <w:pPr>
              <w:spacing w:line="440" w:lineRule="exact"/>
              <w:jc w:val="center"/>
              <w:rPr>
                <w:rFonts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ign w:val="top"/>
          </w:tcPr>
          <w:p w14:paraId="1100A930">
            <w:pPr>
              <w:tabs>
                <w:tab w:val="left" w:pos="480"/>
              </w:tabs>
              <w:jc w:val="center"/>
              <w:rPr>
                <w:rFonts w:ascii="宋体" w:hAnsi="宋体"/>
                <w:szCs w:val="21"/>
                <w:highlight w:val="none"/>
              </w:rPr>
            </w:pPr>
          </w:p>
        </w:tc>
      </w:tr>
      <w:tr w14:paraId="03204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690F42A9">
            <w:pPr>
              <w:spacing w:line="440" w:lineRule="exact"/>
              <w:jc w:val="center"/>
              <w:rPr>
                <w:rFonts w:ascii="宋体" w:hAnsi="宋体"/>
                <w:szCs w:val="21"/>
                <w:highlight w:val="none"/>
              </w:rPr>
            </w:pPr>
            <w:r>
              <w:rPr>
                <w:rFonts w:hint="eastAsia" w:ascii="宋体" w:hAnsi="宋体"/>
                <w:highlight w:val="none"/>
              </w:rPr>
              <w:t>13</w:t>
            </w:r>
          </w:p>
        </w:tc>
        <w:tc>
          <w:tcPr>
            <w:tcW w:w="2631" w:type="dxa"/>
            <w:tcBorders>
              <w:top w:val="single" w:color="auto" w:sz="4" w:space="0"/>
              <w:left w:val="single" w:color="auto" w:sz="4" w:space="0"/>
              <w:bottom w:val="single" w:color="auto" w:sz="4" w:space="0"/>
              <w:right w:val="single" w:color="auto" w:sz="4" w:space="0"/>
            </w:tcBorders>
            <w:noWrap/>
            <w:vAlign w:val="bottom"/>
          </w:tcPr>
          <w:p w14:paraId="354B3E47">
            <w:pPr>
              <w:jc w:val="center"/>
              <w:rPr>
                <w:rFonts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3E26C3DE">
            <w:pPr>
              <w:jc w:val="center"/>
              <w:rPr>
                <w:rFonts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6BFC5E70">
            <w:pPr>
              <w:spacing w:line="440" w:lineRule="exact"/>
              <w:jc w:val="center"/>
              <w:rPr>
                <w:rFonts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7C378D96">
            <w:pPr>
              <w:spacing w:line="440" w:lineRule="exact"/>
              <w:jc w:val="center"/>
              <w:rPr>
                <w:rFonts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ign w:val="top"/>
          </w:tcPr>
          <w:p w14:paraId="437075BF">
            <w:pPr>
              <w:tabs>
                <w:tab w:val="left" w:pos="480"/>
              </w:tabs>
              <w:jc w:val="center"/>
              <w:rPr>
                <w:rFonts w:ascii="宋体" w:hAnsi="宋体"/>
                <w:szCs w:val="21"/>
                <w:highlight w:val="none"/>
              </w:rPr>
            </w:pPr>
          </w:p>
        </w:tc>
      </w:tr>
      <w:tr w14:paraId="4DAF8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600AA8E6">
            <w:pPr>
              <w:spacing w:line="440" w:lineRule="exact"/>
              <w:jc w:val="center"/>
              <w:rPr>
                <w:rFonts w:ascii="宋体" w:hAnsi="宋体"/>
                <w:szCs w:val="21"/>
                <w:highlight w:val="none"/>
              </w:rPr>
            </w:pPr>
            <w:r>
              <w:rPr>
                <w:rFonts w:hint="eastAsia" w:ascii="宋体" w:hAnsi="宋体"/>
                <w:highlight w:val="none"/>
              </w:rPr>
              <w:t>14</w:t>
            </w:r>
          </w:p>
        </w:tc>
        <w:tc>
          <w:tcPr>
            <w:tcW w:w="2631" w:type="dxa"/>
            <w:tcBorders>
              <w:top w:val="single" w:color="auto" w:sz="4" w:space="0"/>
              <w:left w:val="single" w:color="auto" w:sz="4" w:space="0"/>
              <w:bottom w:val="single" w:color="auto" w:sz="4" w:space="0"/>
              <w:right w:val="single" w:color="auto" w:sz="4" w:space="0"/>
            </w:tcBorders>
            <w:noWrap/>
            <w:vAlign w:val="bottom"/>
          </w:tcPr>
          <w:p w14:paraId="6318B612">
            <w:pPr>
              <w:spacing w:line="440" w:lineRule="exact"/>
              <w:jc w:val="center"/>
              <w:rPr>
                <w:rFonts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22989B10">
            <w:pPr>
              <w:jc w:val="center"/>
              <w:rPr>
                <w:rFonts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2242A1BD">
            <w:pPr>
              <w:spacing w:line="440" w:lineRule="exact"/>
              <w:jc w:val="center"/>
              <w:rPr>
                <w:rFonts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203D6C9D">
            <w:pPr>
              <w:spacing w:line="440" w:lineRule="exact"/>
              <w:jc w:val="center"/>
              <w:rPr>
                <w:rFonts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ign w:val="top"/>
          </w:tcPr>
          <w:p w14:paraId="54F0CD8D">
            <w:pPr>
              <w:tabs>
                <w:tab w:val="left" w:pos="480"/>
              </w:tabs>
              <w:jc w:val="center"/>
              <w:rPr>
                <w:rFonts w:ascii="宋体" w:hAnsi="宋体"/>
                <w:szCs w:val="21"/>
                <w:highlight w:val="none"/>
              </w:rPr>
            </w:pPr>
          </w:p>
        </w:tc>
      </w:tr>
      <w:tr w14:paraId="7A920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0F27426B">
            <w:pPr>
              <w:spacing w:line="440" w:lineRule="exact"/>
              <w:jc w:val="center"/>
              <w:rPr>
                <w:rFonts w:ascii="宋体" w:hAnsi="宋体"/>
                <w:szCs w:val="21"/>
                <w:highlight w:val="none"/>
              </w:rPr>
            </w:pPr>
            <w:r>
              <w:rPr>
                <w:rFonts w:hint="eastAsia" w:ascii="宋体" w:hAnsi="宋体"/>
                <w:highlight w:val="none"/>
              </w:rPr>
              <w:t>15</w:t>
            </w:r>
          </w:p>
        </w:tc>
        <w:tc>
          <w:tcPr>
            <w:tcW w:w="2631" w:type="dxa"/>
            <w:tcBorders>
              <w:top w:val="single" w:color="auto" w:sz="4" w:space="0"/>
              <w:left w:val="single" w:color="auto" w:sz="4" w:space="0"/>
              <w:bottom w:val="single" w:color="auto" w:sz="4" w:space="0"/>
              <w:right w:val="single" w:color="auto" w:sz="4" w:space="0"/>
            </w:tcBorders>
            <w:noWrap/>
            <w:vAlign w:val="bottom"/>
          </w:tcPr>
          <w:p w14:paraId="70BCFB88">
            <w:pPr>
              <w:spacing w:line="440" w:lineRule="exact"/>
              <w:jc w:val="center"/>
              <w:rPr>
                <w:rFonts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0BF0E3E0">
            <w:pPr>
              <w:jc w:val="center"/>
              <w:rPr>
                <w:rFonts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540FF384">
            <w:pPr>
              <w:spacing w:line="440" w:lineRule="exact"/>
              <w:jc w:val="center"/>
              <w:rPr>
                <w:rFonts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6F8585E1">
            <w:pPr>
              <w:spacing w:line="440" w:lineRule="exact"/>
              <w:jc w:val="center"/>
              <w:rPr>
                <w:rFonts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ign w:val="top"/>
          </w:tcPr>
          <w:p w14:paraId="25A7C972">
            <w:pPr>
              <w:tabs>
                <w:tab w:val="left" w:pos="480"/>
              </w:tabs>
              <w:jc w:val="center"/>
              <w:rPr>
                <w:rFonts w:ascii="宋体" w:hAnsi="宋体"/>
                <w:szCs w:val="21"/>
                <w:highlight w:val="none"/>
              </w:rPr>
            </w:pPr>
          </w:p>
        </w:tc>
      </w:tr>
      <w:tr w14:paraId="6DF6D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701347A5">
            <w:pPr>
              <w:spacing w:line="440" w:lineRule="exact"/>
              <w:jc w:val="center"/>
              <w:rPr>
                <w:rFonts w:ascii="宋体" w:hAnsi="宋体"/>
                <w:szCs w:val="21"/>
                <w:highlight w:val="none"/>
              </w:rPr>
            </w:pPr>
            <w:r>
              <w:rPr>
                <w:rFonts w:hint="eastAsia" w:ascii="宋体" w:hAnsi="宋体"/>
                <w:highlight w:val="none"/>
              </w:rPr>
              <w:t>16</w:t>
            </w:r>
          </w:p>
        </w:tc>
        <w:tc>
          <w:tcPr>
            <w:tcW w:w="2631" w:type="dxa"/>
            <w:tcBorders>
              <w:top w:val="single" w:color="auto" w:sz="4" w:space="0"/>
              <w:left w:val="single" w:color="auto" w:sz="4" w:space="0"/>
              <w:bottom w:val="single" w:color="auto" w:sz="4" w:space="0"/>
              <w:right w:val="single" w:color="auto" w:sz="4" w:space="0"/>
            </w:tcBorders>
            <w:noWrap/>
            <w:vAlign w:val="bottom"/>
          </w:tcPr>
          <w:p w14:paraId="3C97DAD2">
            <w:pPr>
              <w:spacing w:line="440" w:lineRule="exact"/>
              <w:jc w:val="center"/>
              <w:rPr>
                <w:rFonts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6A6D3EBC">
            <w:pPr>
              <w:jc w:val="center"/>
              <w:rPr>
                <w:rFonts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2B42B960">
            <w:pPr>
              <w:spacing w:line="440" w:lineRule="exact"/>
              <w:jc w:val="center"/>
              <w:rPr>
                <w:rFonts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116DBA08">
            <w:pPr>
              <w:spacing w:line="440" w:lineRule="exact"/>
              <w:jc w:val="center"/>
              <w:rPr>
                <w:rFonts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ign w:val="top"/>
          </w:tcPr>
          <w:p w14:paraId="6604FAC6">
            <w:pPr>
              <w:tabs>
                <w:tab w:val="left" w:pos="480"/>
              </w:tabs>
              <w:jc w:val="center"/>
              <w:rPr>
                <w:rFonts w:ascii="宋体" w:hAnsi="宋体"/>
                <w:szCs w:val="21"/>
                <w:highlight w:val="none"/>
              </w:rPr>
            </w:pPr>
          </w:p>
        </w:tc>
      </w:tr>
      <w:tr w14:paraId="3E6A1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78C9C24C">
            <w:pPr>
              <w:spacing w:line="440" w:lineRule="exact"/>
              <w:jc w:val="center"/>
              <w:rPr>
                <w:rFonts w:ascii="宋体" w:hAnsi="宋体"/>
                <w:szCs w:val="21"/>
                <w:highlight w:val="none"/>
              </w:rPr>
            </w:pPr>
            <w:r>
              <w:rPr>
                <w:rFonts w:hint="eastAsia" w:ascii="宋体" w:hAnsi="宋体"/>
                <w:highlight w:val="none"/>
              </w:rPr>
              <w:t>17</w:t>
            </w:r>
          </w:p>
        </w:tc>
        <w:tc>
          <w:tcPr>
            <w:tcW w:w="2631" w:type="dxa"/>
            <w:tcBorders>
              <w:top w:val="single" w:color="auto" w:sz="4" w:space="0"/>
              <w:left w:val="single" w:color="auto" w:sz="4" w:space="0"/>
              <w:bottom w:val="single" w:color="auto" w:sz="4" w:space="0"/>
              <w:right w:val="single" w:color="auto" w:sz="4" w:space="0"/>
            </w:tcBorders>
            <w:noWrap/>
            <w:vAlign w:val="bottom"/>
          </w:tcPr>
          <w:p w14:paraId="3C71F2D4">
            <w:pPr>
              <w:spacing w:line="440" w:lineRule="exact"/>
              <w:jc w:val="center"/>
              <w:rPr>
                <w:rFonts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1179D85E">
            <w:pPr>
              <w:jc w:val="center"/>
              <w:rPr>
                <w:rFonts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552A1761">
            <w:pPr>
              <w:spacing w:line="440" w:lineRule="exact"/>
              <w:jc w:val="center"/>
              <w:rPr>
                <w:rFonts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4FF35500">
            <w:pPr>
              <w:spacing w:line="440" w:lineRule="exact"/>
              <w:jc w:val="center"/>
              <w:rPr>
                <w:rFonts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ign w:val="top"/>
          </w:tcPr>
          <w:p w14:paraId="51F6B639">
            <w:pPr>
              <w:tabs>
                <w:tab w:val="left" w:pos="480"/>
              </w:tabs>
              <w:jc w:val="center"/>
              <w:rPr>
                <w:rFonts w:ascii="宋体" w:hAnsi="宋体"/>
                <w:szCs w:val="21"/>
                <w:highlight w:val="none"/>
              </w:rPr>
            </w:pPr>
          </w:p>
        </w:tc>
      </w:tr>
      <w:tr w14:paraId="779C8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3791C69E">
            <w:pPr>
              <w:spacing w:line="440" w:lineRule="exact"/>
              <w:jc w:val="center"/>
              <w:rPr>
                <w:rFonts w:ascii="宋体" w:hAnsi="宋体"/>
                <w:szCs w:val="21"/>
                <w:highlight w:val="none"/>
              </w:rPr>
            </w:pPr>
            <w:r>
              <w:rPr>
                <w:rFonts w:hint="eastAsia" w:ascii="宋体" w:hAnsi="宋体"/>
                <w:highlight w:val="none"/>
              </w:rPr>
              <w:t>18</w:t>
            </w:r>
          </w:p>
        </w:tc>
        <w:tc>
          <w:tcPr>
            <w:tcW w:w="2631" w:type="dxa"/>
            <w:tcBorders>
              <w:top w:val="single" w:color="auto" w:sz="4" w:space="0"/>
              <w:left w:val="single" w:color="auto" w:sz="4" w:space="0"/>
              <w:bottom w:val="single" w:color="auto" w:sz="4" w:space="0"/>
              <w:right w:val="single" w:color="auto" w:sz="4" w:space="0"/>
            </w:tcBorders>
            <w:noWrap/>
            <w:vAlign w:val="bottom"/>
          </w:tcPr>
          <w:p w14:paraId="6351D5DD">
            <w:pPr>
              <w:jc w:val="center"/>
              <w:rPr>
                <w:rFonts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478B6352">
            <w:pPr>
              <w:jc w:val="center"/>
              <w:rPr>
                <w:rFonts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57A83C7F">
            <w:pPr>
              <w:spacing w:line="440" w:lineRule="exact"/>
              <w:jc w:val="center"/>
              <w:rPr>
                <w:rFonts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39CDBE80">
            <w:pPr>
              <w:spacing w:line="440" w:lineRule="exact"/>
              <w:jc w:val="center"/>
              <w:rPr>
                <w:rFonts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ign w:val="top"/>
          </w:tcPr>
          <w:p w14:paraId="128E868D">
            <w:pPr>
              <w:tabs>
                <w:tab w:val="left" w:pos="480"/>
              </w:tabs>
              <w:jc w:val="center"/>
              <w:rPr>
                <w:rFonts w:ascii="宋体" w:hAnsi="宋体"/>
                <w:szCs w:val="21"/>
                <w:highlight w:val="none"/>
              </w:rPr>
            </w:pPr>
          </w:p>
        </w:tc>
      </w:tr>
    </w:tbl>
    <w:p w14:paraId="34B94363">
      <w:pPr>
        <w:snapToGrid w:val="0"/>
        <w:spacing w:line="520" w:lineRule="exact"/>
        <w:jc w:val="left"/>
        <w:rPr>
          <w:rFonts w:ascii="仿宋_GB2312" w:hAnsi="仿宋" w:eastAsia="仿宋_GB2312"/>
          <w:b/>
          <w:sz w:val="36"/>
          <w:szCs w:val="36"/>
          <w:highlight w:val="none"/>
        </w:rPr>
      </w:pPr>
    </w:p>
    <w:p w14:paraId="203903F9">
      <w:pPr>
        <w:snapToGrid w:val="0"/>
        <w:spacing w:line="520" w:lineRule="exact"/>
        <w:ind w:firstLine="2530" w:firstLineChars="700"/>
        <w:jc w:val="left"/>
        <w:rPr>
          <w:rFonts w:ascii="仿宋_GB2312" w:hAnsi="仿宋" w:eastAsia="仿宋_GB2312"/>
          <w:b/>
          <w:sz w:val="36"/>
          <w:szCs w:val="36"/>
          <w:highlight w:val="none"/>
        </w:rPr>
      </w:pPr>
    </w:p>
    <w:p w14:paraId="53C7FEFA">
      <w:pPr>
        <w:snapToGrid w:val="0"/>
        <w:spacing w:line="520" w:lineRule="exact"/>
        <w:jc w:val="left"/>
        <w:rPr>
          <w:rFonts w:ascii="仿宋_GB2312" w:hAnsi="仿宋" w:eastAsia="仿宋_GB2312"/>
          <w:b/>
          <w:sz w:val="36"/>
          <w:szCs w:val="36"/>
          <w:highlight w:val="none"/>
        </w:rPr>
      </w:pPr>
    </w:p>
    <w:p w14:paraId="51D997DD">
      <w:pPr>
        <w:pStyle w:val="4"/>
        <w:rPr>
          <w:highlight w:val="none"/>
        </w:rPr>
      </w:pPr>
    </w:p>
    <w:p w14:paraId="7462D9D1">
      <w:pPr>
        <w:pStyle w:val="4"/>
        <w:rPr>
          <w:highlight w:val="none"/>
        </w:rPr>
      </w:pPr>
    </w:p>
    <w:p w14:paraId="243A5AE2">
      <w:pPr>
        <w:pStyle w:val="4"/>
        <w:rPr>
          <w:highlight w:val="none"/>
        </w:rPr>
      </w:pPr>
    </w:p>
    <w:p w14:paraId="21D04CC1">
      <w:pPr>
        <w:pStyle w:val="4"/>
        <w:rPr>
          <w:highlight w:val="none"/>
        </w:rPr>
      </w:pPr>
    </w:p>
    <w:p w14:paraId="11490258">
      <w:pPr>
        <w:pStyle w:val="4"/>
        <w:rPr>
          <w:highlight w:val="none"/>
        </w:rPr>
      </w:pPr>
    </w:p>
    <w:p w14:paraId="792749E9">
      <w:pPr>
        <w:pStyle w:val="4"/>
        <w:rPr>
          <w:highlight w:val="none"/>
        </w:rPr>
      </w:pPr>
    </w:p>
    <w:p w14:paraId="6555BCD1">
      <w:pPr>
        <w:pStyle w:val="4"/>
        <w:rPr>
          <w:highlight w:val="none"/>
        </w:rPr>
      </w:pPr>
    </w:p>
    <w:p w14:paraId="4DC304F6">
      <w:pPr>
        <w:pStyle w:val="4"/>
        <w:rPr>
          <w:highlight w:val="none"/>
        </w:rPr>
      </w:pPr>
    </w:p>
    <w:p w14:paraId="692DF09B">
      <w:pPr>
        <w:pStyle w:val="4"/>
        <w:rPr>
          <w:highlight w:val="none"/>
        </w:rPr>
      </w:pPr>
    </w:p>
    <w:p w14:paraId="0451DCD5">
      <w:pPr>
        <w:pStyle w:val="4"/>
        <w:rPr>
          <w:highlight w:val="none"/>
        </w:rPr>
      </w:pPr>
    </w:p>
    <w:p w14:paraId="7FBA9A8F">
      <w:pPr>
        <w:pStyle w:val="4"/>
        <w:rPr>
          <w:highlight w:val="none"/>
        </w:rPr>
      </w:pPr>
    </w:p>
    <w:p w14:paraId="1E80E610">
      <w:pPr>
        <w:pStyle w:val="4"/>
        <w:rPr>
          <w:highlight w:val="none"/>
        </w:rPr>
      </w:pPr>
    </w:p>
    <w:p w14:paraId="3428C720">
      <w:pPr>
        <w:pStyle w:val="4"/>
        <w:rPr>
          <w:highlight w:val="none"/>
        </w:rPr>
      </w:pPr>
    </w:p>
    <w:p w14:paraId="23773C09">
      <w:pPr>
        <w:snapToGrid w:val="0"/>
        <w:spacing w:line="520" w:lineRule="exact"/>
        <w:ind w:firstLine="2530" w:firstLineChars="700"/>
        <w:jc w:val="left"/>
        <w:rPr>
          <w:rFonts w:ascii="仿宋_GB2312" w:hAnsi="仿宋" w:eastAsia="仿宋_GB2312"/>
          <w:b/>
          <w:sz w:val="36"/>
          <w:szCs w:val="36"/>
          <w:highlight w:val="none"/>
        </w:rPr>
      </w:pPr>
      <w:r>
        <w:rPr>
          <w:rFonts w:hint="eastAsia" w:ascii="仿宋_GB2312" w:hAnsi="仿宋" w:eastAsia="仿宋_GB2312"/>
          <w:b/>
          <w:sz w:val="36"/>
          <w:szCs w:val="36"/>
          <w:highlight w:val="none"/>
        </w:rPr>
        <w:t>西安市政府采购供应商</w:t>
      </w:r>
    </w:p>
    <w:p w14:paraId="2A817A01">
      <w:pPr>
        <w:snapToGrid w:val="0"/>
        <w:spacing w:line="520" w:lineRule="exact"/>
        <w:rPr>
          <w:rFonts w:ascii="仿宋_GB2312" w:hAnsi="仿宋" w:eastAsia="仿宋_GB2312"/>
          <w:b/>
          <w:sz w:val="36"/>
          <w:szCs w:val="36"/>
          <w:highlight w:val="none"/>
        </w:rPr>
      </w:pPr>
      <w:r>
        <w:rPr>
          <w:rFonts w:hint="eastAsia" w:ascii="仿宋_GB2312" w:hAnsi="仿宋" w:eastAsia="仿宋_GB2312"/>
          <w:b/>
          <w:sz w:val="36"/>
          <w:szCs w:val="36"/>
          <w:highlight w:val="none"/>
        </w:rPr>
        <w:t xml:space="preserve">          拒绝政府采购领域商业贿赂承诺书</w:t>
      </w:r>
    </w:p>
    <w:p w14:paraId="7D38A38B">
      <w:pPr>
        <w:snapToGrid w:val="0"/>
        <w:spacing w:line="400" w:lineRule="exact"/>
        <w:ind w:firstLine="560" w:firstLineChars="200"/>
        <w:rPr>
          <w:rFonts w:ascii="仿宋_GB2312" w:hAnsi="仿宋" w:eastAsia="仿宋_GB2312"/>
          <w:sz w:val="28"/>
          <w:szCs w:val="28"/>
          <w:highlight w:val="none"/>
        </w:rPr>
      </w:pPr>
    </w:p>
    <w:p w14:paraId="563C02CE">
      <w:pPr>
        <w:snapToGrid w:val="0"/>
        <w:spacing w:line="360" w:lineRule="auto"/>
        <w:ind w:firstLine="560" w:firstLineChars="200"/>
        <w:rPr>
          <w:rFonts w:ascii="宋体" w:hAnsi="宋体"/>
          <w:b/>
          <w:sz w:val="28"/>
          <w:szCs w:val="28"/>
          <w:highlight w:val="none"/>
        </w:rPr>
      </w:pPr>
      <w:r>
        <w:rPr>
          <w:rFonts w:hint="eastAsia" w:ascii="宋体" w:hAnsi="宋体"/>
          <w:sz w:val="28"/>
          <w:szCs w:val="28"/>
          <w:highlight w:val="none"/>
        </w:rPr>
        <w:t>为响应党中央、国务院关于治理政府采购领域商业贿赂行为的号召，我公司在此承诺：</w:t>
      </w:r>
    </w:p>
    <w:p w14:paraId="0CC5CEAE">
      <w:pPr>
        <w:snapToGrid w:val="0"/>
        <w:spacing w:line="360" w:lineRule="auto"/>
        <w:ind w:firstLine="560" w:firstLineChars="200"/>
        <w:rPr>
          <w:rFonts w:ascii="宋体" w:hAnsi="宋体"/>
          <w:sz w:val="28"/>
          <w:szCs w:val="28"/>
          <w:highlight w:val="none"/>
        </w:rPr>
      </w:pPr>
      <w:r>
        <w:rPr>
          <w:rFonts w:hint="eastAsia" w:ascii="宋体" w:hAnsi="宋体"/>
          <w:sz w:val="28"/>
          <w:szCs w:val="28"/>
          <w:highlight w:val="none"/>
        </w:rPr>
        <w:t>一、在参与政府采购活动中遵纪守法、诚信经营、公平竞标。</w:t>
      </w:r>
    </w:p>
    <w:p w14:paraId="6075F5E6">
      <w:pPr>
        <w:snapToGrid w:val="0"/>
        <w:spacing w:line="360" w:lineRule="auto"/>
        <w:ind w:firstLine="560" w:firstLineChars="200"/>
        <w:rPr>
          <w:rFonts w:ascii="宋体" w:hAnsi="宋体"/>
          <w:b/>
          <w:sz w:val="28"/>
          <w:szCs w:val="28"/>
          <w:highlight w:val="none"/>
        </w:rPr>
      </w:pPr>
      <w:r>
        <w:rPr>
          <w:rFonts w:hint="eastAsia" w:ascii="宋体" w:hAnsi="宋体"/>
          <w:sz w:val="28"/>
          <w:szCs w:val="28"/>
          <w:highlight w:val="none"/>
        </w:rPr>
        <w:t>二、不向政府采购人、采购代理机构和政府采购评审专家进行任何形式的商业贿赂以谋取交易机会。</w:t>
      </w:r>
    </w:p>
    <w:p w14:paraId="721AC83D">
      <w:pPr>
        <w:snapToGrid w:val="0"/>
        <w:spacing w:line="360" w:lineRule="auto"/>
        <w:ind w:firstLine="560" w:firstLineChars="200"/>
        <w:rPr>
          <w:rFonts w:ascii="宋体" w:hAnsi="宋体"/>
          <w:b/>
          <w:sz w:val="28"/>
          <w:szCs w:val="28"/>
          <w:highlight w:val="none"/>
        </w:rPr>
      </w:pPr>
      <w:r>
        <w:rPr>
          <w:rFonts w:hint="eastAsia" w:ascii="宋体" w:hAnsi="宋体"/>
          <w:sz w:val="28"/>
          <w:szCs w:val="28"/>
          <w:highlight w:val="none"/>
        </w:rPr>
        <w:t>三、不向政府采购代理机构和采购人提供虚假资质文件或采用虚假应标方式参与政府采购市场竞争并谋取中标、成交。</w:t>
      </w:r>
    </w:p>
    <w:p w14:paraId="4666F7F0">
      <w:pPr>
        <w:snapToGrid w:val="0"/>
        <w:spacing w:line="360" w:lineRule="auto"/>
        <w:ind w:firstLine="560" w:firstLineChars="200"/>
        <w:rPr>
          <w:rFonts w:ascii="宋体" w:hAnsi="宋体"/>
          <w:sz w:val="28"/>
          <w:szCs w:val="28"/>
          <w:highlight w:val="none"/>
        </w:rPr>
      </w:pPr>
      <w:r>
        <w:rPr>
          <w:rFonts w:hint="eastAsia" w:ascii="宋体" w:hAnsi="宋体"/>
          <w:sz w:val="28"/>
          <w:szCs w:val="28"/>
          <w:highlight w:val="none"/>
        </w:rPr>
        <w:t>四、不采取“围标、陪标”等商业欺诈手段获取政府采购订单；</w:t>
      </w:r>
    </w:p>
    <w:p w14:paraId="697A2016">
      <w:pPr>
        <w:snapToGrid w:val="0"/>
        <w:spacing w:line="360" w:lineRule="auto"/>
        <w:ind w:firstLine="560" w:firstLineChars="200"/>
        <w:rPr>
          <w:rFonts w:ascii="宋体" w:hAnsi="宋体"/>
          <w:b/>
          <w:sz w:val="28"/>
          <w:szCs w:val="28"/>
          <w:highlight w:val="none"/>
        </w:rPr>
      </w:pPr>
      <w:r>
        <w:rPr>
          <w:rFonts w:hint="eastAsia" w:ascii="宋体" w:hAnsi="宋体"/>
          <w:sz w:val="28"/>
          <w:szCs w:val="28"/>
          <w:highlight w:val="none"/>
        </w:rPr>
        <w:t>五、不采取不正当手段诋毁、排挤其他供应商。</w:t>
      </w:r>
    </w:p>
    <w:p w14:paraId="5BBD8835">
      <w:pPr>
        <w:snapToGrid w:val="0"/>
        <w:spacing w:line="360" w:lineRule="auto"/>
        <w:ind w:firstLine="560" w:firstLineChars="200"/>
        <w:rPr>
          <w:rFonts w:ascii="宋体" w:hAnsi="宋体"/>
          <w:b/>
          <w:sz w:val="28"/>
          <w:szCs w:val="28"/>
          <w:highlight w:val="none"/>
        </w:rPr>
      </w:pPr>
      <w:r>
        <w:rPr>
          <w:rFonts w:hint="eastAsia" w:ascii="宋体" w:hAnsi="宋体"/>
          <w:sz w:val="28"/>
          <w:szCs w:val="28"/>
          <w:highlight w:val="none"/>
        </w:rPr>
        <w:t>六、不在提供商品和服务时“偷梁换柱、以次充好”损害采购人的合法权益。</w:t>
      </w:r>
    </w:p>
    <w:p w14:paraId="22A389D2">
      <w:pPr>
        <w:snapToGrid w:val="0"/>
        <w:spacing w:line="360" w:lineRule="auto"/>
        <w:ind w:firstLine="560" w:firstLineChars="200"/>
        <w:rPr>
          <w:rFonts w:ascii="宋体" w:hAnsi="宋体"/>
          <w:b/>
          <w:sz w:val="28"/>
          <w:szCs w:val="28"/>
          <w:highlight w:val="none"/>
        </w:rPr>
      </w:pPr>
      <w:r>
        <w:rPr>
          <w:rFonts w:hint="eastAsia" w:ascii="宋体" w:hAnsi="宋体"/>
          <w:sz w:val="28"/>
          <w:szCs w:val="28"/>
          <w:highlight w:val="none"/>
        </w:rPr>
        <w:t>七、不与采购人、采购代理机构、政府采购评审专家或其他供应商恶意串通，进行质疑和投诉，维护政府采购市场秩序。</w:t>
      </w:r>
    </w:p>
    <w:p w14:paraId="09B6804F">
      <w:pPr>
        <w:snapToGrid w:val="0"/>
        <w:spacing w:line="360" w:lineRule="auto"/>
        <w:ind w:firstLine="560" w:firstLineChars="200"/>
        <w:rPr>
          <w:rFonts w:ascii="宋体" w:hAnsi="宋体"/>
          <w:b/>
          <w:sz w:val="28"/>
          <w:szCs w:val="28"/>
          <w:highlight w:val="none"/>
        </w:rPr>
      </w:pPr>
      <w:r>
        <w:rPr>
          <w:rFonts w:hint="eastAsia" w:ascii="宋体" w:hAnsi="宋体"/>
          <w:sz w:val="28"/>
          <w:szCs w:val="28"/>
          <w:highlight w:val="none"/>
        </w:rPr>
        <w:t>八、尊重和接受政府采购监督管理部门的监督和政府采购代理机构招标采购要求，承担因违约行为给采购人造成的损失。</w:t>
      </w:r>
    </w:p>
    <w:p w14:paraId="0D6C22D7">
      <w:pPr>
        <w:snapToGrid w:val="0"/>
        <w:spacing w:line="360" w:lineRule="auto"/>
        <w:ind w:firstLine="560" w:firstLineChars="200"/>
        <w:rPr>
          <w:rFonts w:ascii="宋体" w:hAnsi="宋体"/>
          <w:b/>
          <w:sz w:val="28"/>
          <w:szCs w:val="28"/>
          <w:highlight w:val="none"/>
        </w:rPr>
      </w:pPr>
      <w:r>
        <w:rPr>
          <w:rFonts w:hint="eastAsia" w:ascii="宋体" w:hAnsi="宋体"/>
          <w:sz w:val="28"/>
          <w:szCs w:val="28"/>
          <w:highlight w:val="none"/>
        </w:rPr>
        <w:t>九、不发生其他有悖于政府采购公开、公平、公正和诚信原则的行为。</w:t>
      </w:r>
    </w:p>
    <w:p w14:paraId="450C08A0">
      <w:pPr>
        <w:snapToGrid w:val="0"/>
        <w:spacing w:line="360" w:lineRule="auto"/>
        <w:ind w:left="482"/>
        <w:rPr>
          <w:rFonts w:ascii="宋体" w:hAnsi="宋体"/>
          <w:sz w:val="28"/>
          <w:szCs w:val="28"/>
          <w:highlight w:val="none"/>
        </w:rPr>
      </w:pPr>
      <w:r>
        <w:rPr>
          <w:rFonts w:hint="eastAsia" w:ascii="宋体" w:hAnsi="宋体"/>
          <w:sz w:val="28"/>
          <w:szCs w:val="28"/>
          <w:highlight w:val="none"/>
        </w:rPr>
        <w:t>承诺单位：（盖章）</w:t>
      </w:r>
    </w:p>
    <w:p w14:paraId="04B1C043">
      <w:pPr>
        <w:snapToGrid w:val="0"/>
        <w:spacing w:line="360" w:lineRule="auto"/>
        <w:ind w:left="482"/>
        <w:rPr>
          <w:rFonts w:ascii="宋体" w:hAnsi="宋体"/>
          <w:sz w:val="28"/>
          <w:szCs w:val="28"/>
          <w:highlight w:val="none"/>
        </w:rPr>
      </w:pPr>
      <w:r>
        <w:rPr>
          <w:rFonts w:hint="eastAsia" w:ascii="宋体" w:hAnsi="宋体"/>
          <w:bCs/>
          <w:sz w:val="28"/>
          <w:szCs w:val="28"/>
          <w:highlight w:val="none"/>
        </w:rPr>
        <w:t>法定代表人或被授权人</w:t>
      </w:r>
      <w:r>
        <w:rPr>
          <w:rFonts w:hint="eastAsia" w:ascii="宋体" w:hAnsi="宋体"/>
          <w:sz w:val="28"/>
          <w:szCs w:val="28"/>
          <w:highlight w:val="none"/>
        </w:rPr>
        <w:t>：（签字或盖章）</w:t>
      </w:r>
    </w:p>
    <w:p w14:paraId="6A0A0589">
      <w:pPr>
        <w:snapToGrid w:val="0"/>
        <w:spacing w:line="360" w:lineRule="auto"/>
        <w:ind w:left="482"/>
        <w:rPr>
          <w:rFonts w:ascii="宋体" w:hAnsi="宋体"/>
          <w:sz w:val="28"/>
          <w:szCs w:val="28"/>
          <w:highlight w:val="none"/>
        </w:rPr>
      </w:pPr>
      <w:r>
        <w:rPr>
          <w:rFonts w:hint="eastAsia" w:ascii="宋体" w:hAnsi="宋体"/>
          <w:sz w:val="28"/>
          <w:szCs w:val="28"/>
          <w:highlight w:val="none"/>
        </w:rPr>
        <w:t xml:space="preserve">地址：                             </w:t>
      </w:r>
    </w:p>
    <w:p w14:paraId="7C241E09">
      <w:pPr>
        <w:snapToGrid w:val="0"/>
        <w:spacing w:line="360" w:lineRule="auto"/>
        <w:ind w:left="482"/>
        <w:rPr>
          <w:rFonts w:ascii="宋体" w:hAnsi="宋体"/>
          <w:sz w:val="28"/>
          <w:szCs w:val="28"/>
          <w:highlight w:val="none"/>
        </w:rPr>
      </w:pPr>
      <w:r>
        <w:rPr>
          <w:rFonts w:hint="eastAsia" w:ascii="宋体" w:hAnsi="宋体"/>
          <w:sz w:val="28"/>
          <w:szCs w:val="28"/>
          <w:highlight w:val="none"/>
        </w:rPr>
        <w:t xml:space="preserve">电话：     </w:t>
      </w:r>
    </w:p>
    <w:p w14:paraId="6172ABAC">
      <w:pPr>
        <w:snapToGrid w:val="0"/>
        <w:spacing w:line="360" w:lineRule="auto"/>
        <w:ind w:left="482"/>
        <w:rPr>
          <w:rFonts w:ascii="宋体" w:hAnsi="宋体"/>
          <w:sz w:val="28"/>
          <w:szCs w:val="28"/>
          <w:highlight w:val="none"/>
        </w:rPr>
      </w:pPr>
      <w:r>
        <w:rPr>
          <w:rFonts w:hint="eastAsia" w:ascii="宋体" w:hAnsi="宋体"/>
          <w:sz w:val="28"/>
          <w:szCs w:val="28"/>
          <w:highlight w:val="none"/>
        </w:rPr>
        <w:t xml:space="preserve">邮编：                                   </w:t>
      </w:r>
    </w:p>
    <w:p w14:paraId="0D20AC01">
      <w:pPr>
        <w:tabs>
          <w:tab w:val="left" w:pos="5875"/>
        </w:tabs>
        <w:spacing w:line="360" w:lineRule="auto"/>
        <w:rPr>
          <w:rFonts w:hint="eastAsia"/>
          <w:highlight w:val="none"/>
          <w:lang w:val="en-US" w:eastAsia="zh-Hans"/>
        </w:rPr>
      </w:pPr>
      <w:r>
        <w:rPr>
          <w:rFonts w:ascii="宋体" w:hAnsi="宋体"/>
          <w:sz w:val="28"/>
          <w:szCs w:val="28"/>
          <w:highlight w:val="none"/>
        </w:rPr>
        <w:tab/>
      </w:r>
      <w:r>
        <w:rPr>
          <w:rFonts w:hint="eastAsia" w:ascii="宋体" w:hAnsi="宋体"/>
          <w:sz w:val="28"/>
          <w:szCs w:val="28"/>
          <w:highlight w:val="none"/>
        </w:rPr>
        <w:t>年    月    日</w:t>
      </w:r>
    </w:p>
    <w:p w14:paraId="2EB924C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C46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Plain Text"/>
    <w:basedOn w:val="1"/>
    <w:qFormat/>
    <w:uiPriority w:val="0"/>
    <w:rPr>
      <w:rFonts w:hAnsi="Courier New"/>
      <w:kern w:val="2"/>
      <w:sz w:val="21"/>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Normal_38"/>
    <w:qFormat/>
    <w:uiPriority w:val="0"/>
    <w:pPr>
      <w:spacing w:before="120" w:after="240"/>
      <w:jc w:val="both"/>
    </w:pPr>
    <w:rPr>
      <w:rFonts w:ascii="Calibri" w:hAnsi="Calibri" w:eastAsia="Calibri" w:cs="Times New Roman"/>
      <w:sz w:val="22"/>
      <w:szCs w:val="22"/>
      <w:lang w:val="ru-RU" w:eastAsia="en-US" w:bidi="ar-SA"/>
    </w:rPr>
  </w:style>
  <w:style w:type="paragraph" w:customStyle="1" w:styleId="9">
    <w:name w:val="※小标题 1"/>
    <w:basedOn w:val="1"/>
    <w:next w:val="1"/>
    <w:qFormat/>
    <w:uiPriority w:val="0"/>
    <w:pPr>
      <w:widowControl/>
      <w:wordWrap w:val="0"/>
      <w:spacing w:before="20" w:after="20" w:line="400" w:lineRule="exact"/>
      <w:ind w:firstLine="200" w:firstLineChars="200"/>
      <w:jc w:val="left"/>
      <w:outlineLvl w:val="4"/>
    </w:pPr>
    <w:rPr>
      <w:rFonts w:ascii="Calibri Light" w:hAnsi="Calibri Light" w:eastAsia="华文仿宋"/>
      <w:b/>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2025-12-09T06:35:09Z</dcterms:created>
  <dc:creator>Administrator</dc:creator>
  <cp:lastModifiedBy>晚风。</cp:lastModifiedBy>
  <dcterms:modified xsi:type="dcterms:W3CDTF">2025-12-09T06:35:46Z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eyJoZGlkIjoiMzExMGM3ZTg0ZmZiNmZlNWIxMzQzNWYwODJjMzZlYjUiLCJ1c2VySWQiOiIzMzczMjk0NjQifQ==</vt:lpwstr>
  </property>
  <property fmtid="{D5CDD505-2E9C-101B-9397-08002B2CF9AE}" pid="4" name="ICV">
    <vt:lpwstr>6DD81276FE7E47918A3BD4182E493823_12</vt:lpwstr>
  </property>
</Properties>
</file>