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版本号：【KRDL】K5-251217620260113001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患者服务管理中心</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【KRDL】K5-2512176</w:t>
      </w:r>
      <w:r>
        <w:br/>
      </w:r>
      <w:r>
        <w:br/>
      </w:r>
      <w:r>
        <w:br/>
      </w:r>
    </w:p>
    <w:p>
      <w:pPr>
        <w:pStyle w:val="null3"/>
        <w:jc w:val="center"/>
        <w:outlineLvl w:val="2"/>
      </w:pPr>
      <w:r>
        <w:rPr>
          <w:rFonts w:ascii="仿宋_GB2312" w:hAnsi="仿宋_GB2312" w:cs="仿宋_GB2312" w:eastAsia="仿宋_GB2312"/>
          <w:sz w:val="28"/>
          <w:b/>
        </w:rPr>
        <w:t>西安市第五医院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患者服务管理中心</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【KRDL】K5-2512176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患者服务管理中心</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持续有效落实一切为了患者、一切服务于患者、一切方便患者的服务理念，切实做到“把时间还给护士、把护士留给患者”。提高西安市第五医院医疗服务质量和效率，优化医院内部的物资、标本、患者等的运送流程，继续做好合理规范降低运营成本、节约人力物力，探索符合我院的一站式信息化护理管理模式，现拟采购患者服务管理中心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采购包1（患者服务管理中心）：属于专门面向中小企业采购。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1、主体资格：供应商为向采购人提供服务的法人或其他组织；</w:t>
      </w:r>
    </w:p>
    <w:p>
      <w:pPr>
        <w:pStyle w:val="null3"/>
      </w:pPr>
      <w:r>
        <w:rPr>
          <w:rFonts w:ascii="仿宋_GB2312" w:hAnsi="仿宋_GB2312" w:cs="仿宋_GB2312" w:eastAsia="仿宋_GB2312"/>
        </w:rPr>
        <w:t>2、财务状况证明：供应商提供2024年度的财务审计报告或供应商基本户开户银行近三个月内出具的资信证明(须提供基本户开户许可证或基本户开户信息)或供应商提供在磋商截止时间前三个月内由信用担保机构出具的投标担保函；</w:t>
      </w:r>
    </w:p>
    <w:p>
      <w:pPr>
        <w:pStyle w:val="null3"/>
      </w:pPr>
      <w:r>
        <w:rPr>
          <w:rFonts w:ascii="仿宋_GB2312" w:hAnsi="仿宋_GB2312" w:cs="仿宋_GB2312" w:eastAsia="仿宋_GB2312"/>
        </w:rPr>
        <w:t>3、税收缴纳证明：供应商提供2025年1月1日以来任意三个月的纳税缴纳证明，免税企业提供税务机关出具相关的有效证明材料；</w:t>
      </w:r>
    </w:p>
    <w:p>
      <w:pPr>
        <w:pStyle w:val="null3"/>
      </w:pPr>
      <w:r>
        <w:rPr>
          <w:rFonts w:ascii="仿宋_GB2312" w:hAnsi="仿宋_GB2312" w:cs="仿宋_GB2312" w:eastAsia="仿宋_GB2312"/>
        </w:rPr>
        <w:t>4、社会保障资金缴纳证明：供应商提供2025年1月1日以来任意三个月的社保缴纳证明，其他组织形式供应商(如个体工商户、合作社、自然人等)可提供法人或负责人个人2025年1月1日以来任意三个月的社保资金缴纳证明材料；依法不需要缴纳社会保障资金的供应商应提供相关有效证明材料；</w:t>
      </w:r>
    </w:p>
    <w:p>
      <w:pPr>
        <w:pStyle w:val="null3"/>
      </w:pPr>
      <w:r>
        <w:rPr>
          <w:rFonts w:ascii="仿宋_GB2312" w:hAnsi="仿宋_GB2312" w:cs="仿宋_GB2312" w:eastAsia="仿宋_GB2312"/>
        </w:rPr>
        <w:t>5、无重大违法记录：供应商需在项目电子化交易系统中按要求填写《无重大违法记录声明》完成承诺，并进行电子签章；</w:t>
      </w:r>
    </w:p>
    <w:p>
      <w:pPr>
        <w:pStyle w:val="null3"/>
      </w:pPr>
      <w:r>
        <w:rPr>
          <w:rFonts w:ascii="仿宋_GB2312" w:hAnsi="仿宋_GB2312" w:cs="仿宋_GB2312" w:eastAsia="仿宋_GB2312"/>
        </w:rPr>
        <w:t>6、供应商应具有履行合同所必需的设备和专业技术能力：供应商需在项目电子化交易系统中按要求填写《具有履行合同所必需的设备和专业技术能力的承诺书》完成承诺，并进行电子签章；</w:t>
      </w:r>
    </w:p>
    <w:p>
      <w:pPr>
        <w:pStyle w:val="null3"/>
      </w:pPr>
      <w:r>
        <w:rPr>
          <w:rFonts w:ascii="仿宋_GB2312" w:hAnsi="仿宋_GB2312" w:cs="仿宋_GB2312" w:eastAsia="仿宋_GB2312"/>
        </w:rPr>
        <w:t>7、信誉要求：截止至响应文件递交截止时间之前，供应商未被“信用中国”网站列入失信被执行人、重大税收违法失信主体名单，未被“中国政府采购网”网站列入政府采购严重违法失信行为记录名单；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8、是否面向中小企业采购：本项目专门面向中小企业采购；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029-88621331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姚瑶、王森、杨莉、王昭、刘昆、张晨、代光艳、靳祥德、成荔、彭明杨、王莉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029-81870236、18182629703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改革委员会办公厅颁发的《关于招标代理服务收费有关问题的通知》（发改办价格[2003] 857号）有关规定标准的基础上下浮20%向采购代理机构一次付清代理服务费。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西安市第五医院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联系人：王森</w:t>
      </w:r>
    </w:p>
    <w:p>
      <w:pPr>
        <w:pStyle w:val="null3"/>
      </w:pPr>
      <w:r>
        <w:rPr>
          <w:rFonts w:ascii="仿宋_GB2312" w:hAnsi="仿宋_GB2312" w:cs="仿宋_GB2312" w:eastAsia="仿宋_GB2312"/>
        </w:rPr>
        <w:t>联系电话：029-81870236、17602924160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持续有效落实一切为了患者、一切服务于患者、一切方便患者的服务理念，切实做到“把时间还给护士、把护士留给患者”。提高西安市第五医院医疗服务质量和效率，优化医院内部的物资、标本、患者等的运送流程，继续做好合理规范降低运营成本、节约人力物力，探索符合我院的一站式信息化护理管理模式，现拟采购患者服务管理中心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983,364.00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患者服务管理中心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标的名称：患者服务管理中心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color w:val="00B0F0"/>
              </w:rPr>
              <w:t>一、服务内容</w:t>
            </w:r>
          </w:p>
          <w:p>
            <w:pPr>
              <w:pStyle w:val="null3"/>
            </w:pPr>
            <w:r>
              <w:rPr>
                <w:rFonts w:ascii="仿宋_GB2312" w:hAnsi="仿宋_GB2312" w:cs="仿宋_GB2312" w:eastAsia="仿宋_GB2312"/>
                <w:color w:val="00B0F0"/>
              </w:rPr>
              <w:t>西安市第五医院患者服务管理中心项目包括：</w:t>
            </w:r>
          </w:p>
          <w:p>
            <w:pPr>
              <w:pStyle w:val="null3"/>
            </w:pPr>
            <w:r>
              <w:rPr>
                <w:rFonts w:ascii="仿宋_GB2312" w:hAnsi="仿宋_GB2312" w:cs="仿宋_GB2312" w:eastAsia="仿宋_GB2312"/>
                <w:color w:val="00B0F0"/>
              </w:rPr>
              <w:t>1.全院一站式信息化服务平台。</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1）在医院现有的信息平台硬件设施配置基础上，将信息化管理与服务有效结合提升效能。通过接入管理方、医护人员、调度中心、运送员等各角色，以及PC、PAD、手机客户端等多种终端，做到所有人事物无缝连接和一体化管理。</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2）可通过电脑、手机等信息化手段随时查看各项任务信息，统计各部门数据。随时监测任务数据，管控任务进程。通过系统可以统计分析各项任务指标，从而改善工作流程，提高工作效率，提升服务质量。</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3）平台信息化建设遵循开放性、先进性、集成性和可扩展性、安全性及经济性的原则，力求实现最佳的性能、价格比。同时为适应今后的技术发展，预留方便的扩展空间。</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4）利用先进的信息化手段协助医护人员完成病房病人陪检，药品运送，标本运送，一次性医用品运送，病历运送，特殊门诊急诊病人陪检等的信息化服务平台。</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5）医院已配有台式电脑、电视大屏、蓝牙信标、平板电脑、物联卡、平板支架，等满足现有工作需求。</w:t>
            </w:r>
          </w:p>
          <w:p>
            <w:pPr>
              <w:pStyle w:val="null3"/>
            </w:pPr>
            <w:r>
              <w:rPr>
                <w:rFonts w:ascii="仿宋_GB2312" w:hAnsi="仿宋_GB2312" w:cs="仿宋_GB2312" w:eastAsia="仿宋_GB2312"/>
                <w:color w:val="00B0F0"/>
              </w:rPr>
              <w:t>2.全院一站式信息化调度服务中心。</w:t>
            </w:r>
          </w:p>
          <w:p>
            <w:pPr>
              <w:pStyle w:val="null3"/>
            </w:pPr>
            <w:r>
              <w:rPr>
                <w:rFonts w:ascii="仿宋_GB2312" w:hAnsi="仿宋_GB2312" w:cs="仿宋_GB2312" w:eastAsia="仿宋_GB2312"/>
                <w:color w:val="00B0F0"/>
              </w:rPr>
              <w:t>3.全院中央运送服务（药品、物耗运送、标本、特殊患者陪检转科）。</w:t>
            </w:r>
          </w:p>
          <w:p>
            <w:pPr>
              <w:pStyle w:val="null3"/>
            </w:pPr>
            <w:r>
              <w:rPr>
                <w:rFonts w:ascii="仿宋_GB2312" w:hAnsi="仿宋_GB2312" w:cs="仿宋_GB2312" w:eastAsia="仿宋_GB2312"/>
                <w:color w:val="00B0F0"/>
              </w:rPr>
              <w:t>4.病友服务（陪护服务）。</w:t>
            </w:r>
          </w:p>
          <w:p>
            <w:pPr>
              <w:pStyle w:val="null3"/>
            </w:pPr>
            <w:r>
              <w:rPr>
                <w:rFonts w:ascii="仿宋_GB2312" w:hAnsi="仿宋_GB2312" w:cs="仿宋_GB2312" w:eastAsia="仿宋_GB2312"/>
                <w:color w:val="00B0F0"/>
              </w:rPr>
              <w:t>5.提供病区已有门禁设施的管理服务。</w:t>
            </w:r>
          </w:p>
          <w:p>
            <w:pPr>
              <w:pStyle w:val="null3"/>
            </w:pPr>
            <w:r>
              <w:rPr>
                <w:rFonts w:ascii="仿宋_GB2312" w:hAnsi="仿宋_GB2312" w:cs="仿宋_GB2312" w:eastAsia="仿宋_GB2312"/>
                <w:b/>
                <w:color w:val="00B0F0"/>
              </w:rPr>
              <w:t>二、技术要求</w:t>
            </w:r>
          </w:p>
          <w:p>
            <w:pPr>
              <w:pStyle w:val="null3"/>
            </w:pPr>
            <w:r>
              <w:rPr>
                <w:rFonts w:ascii="仿宋_GB2312" w:hAnsi="仿宋_GB2312" w:cs="仿宋_GB2312" w:eastAsia="仿宋_GB2312"/>
                <w:color w:val="00B0F0"/>
              </w:rPr>
              <w:t>1.病患运送</w:t>
            </w:r>
          </w:p>
          <w:p>
            <w:pPr>
              <w:pStyle w:val="null3"/>
            </w:pPr>
            <w:r>
              <w:rPr>
                <w:rFonts w:ascii="仿宋_GB2312" w:hAnsi="仿宋_GB2312" w:cs="仿宋_GB2312" w:eastAsia="仿宋_GB2312"/>
                <w:color w:val="00B0F0"/>
              </w:rPr>
              <w:t>负责安全、及时地运送住院患者进行各项检查、治疗及转科等。</w:t>
            </w:r>
          </w:p>
          <w:p>
            <w:pPr>
              <w:pStyle w:val="null3"/>
            </w:pPr>
            <w:r>
              <w:rPr>
                <w:rFonts w:ascii="仿宋_GB2312" w:hAnsi="仿宋_GB2312" w:cs="仿宋_GB2312" w:eastAsia="仿宋_GB2312"/>
                <w:color w:val="00B0F0"/>
              </w:rPr>
              <w:t>配备合适的运送工具，确保患者在运送过程中的舒适与安全。</w:t>
            </w:r>
          </w:p>
          <w:p>
            <w:pPr>
              <w:pStyle w:val="null3"/>
            </w:pPr>
            <w:r>
              <w:rPr>
                <w:rFonts w:ascii="仿宋_GB2312" w:hAnsi="仿宋_GB2312" w:cs="仿宋_GB2312" w:eastAsia="仿宋_GB2312"/>
                <w:color w:val="00B0F0"/>
              </w:rPr>
              <w:t>对特殊患者（如危重、行动不便等）要有专门的运送方案和应急措施。</w:t>
            </w:r>
          </w:p>
          <w:p>
            <w:pPr>
              <w:pStyle w:val="null3"/>
            </w:pPr>
            <w:r>
              <w:rPr>
                <w:rFonts w:ascii="仿宋_GB2312" w:hAnsi="仿宋_GB2312" w:cs="仿宋_GB2312" w:eastAsia="仿宋_GB2312"/>
                <w:color w:val="00B0F0"/>
              </w:rPr>
              <w:t>2.标本运送</w:t>
            </w:r>
          </w:p>
          <w:p>
            <w:pPr>
              <w:pStyle w:val="null3"/>
            </w:pPr>
            <w:r>
              <w:rPr>
                <w:rFonts w:ascii="仿宋_GB2312" w:hAnsi="仿宋_GB2312" w:cs="仿宋_GB2312" w:eastAsia="仿宋_GB2312"/>
                <w:color w:val="00B0F0"/>
              </w:rPr>
              <w:t>准确、快速地将各类检验标本从科室运送至检验科。</w:t>
            </w:r>
          </w:p>
          <w:p>
            <w:pPr>
              <w:pStyle w:val="null3"/>
            </w:pPr>
            <w:r>
              <w:rPr>
                <w:rFonts w:ascii="仿宋_GB2312" w:hAnsi="仿宋_GB2312" w:cs="仿宋_GB2312" w:eastAsia="仿宋_GB2312"/>
                <w:color w:val="00B0F0"/>
              </w:rPr>
              <w:t>严格按照标本运送的规范要求，保证标本的完整性和时效性。</w:t>
            </w:r>
          </w:p>
          <w:p>
            <w:pPr>
              <w:pStyle w:val="null3"/>
            </w:pPr>
            <w:r>
              <w:rPr>
                <w:rFonts w:ascii="仿宋_GB2312" w:hAnsi="仿宋_GB2312" w:cs="仿宋_GB2312" w:eastAsia="仿宋_GB2312"/>
                <w:color w:val="00B0F0"/>
              </w:rPr>
              <w:t>对特殊标本（如病理标本、血制品等）要采取特殊的保护措施。</w:t>
            </w:r>
          </w:p>
          <w:p>
            <w:pPr>
              <w:pStyle w:val="null3"/>
            </w:pPr>
            <w:r>
              <w:rPr>
                <w:rFonts w:ascii="仿宋_GB2312" w:hAnsi="仿宋_GB2312" w:cs="仿宋_GB2312" w:eastAsia="仿宋_GB2312"/>
                <w:color w:val="00B0F0"/>
              </w:rPr>
              <w:t>3.药品运送</w:t>
            </w:r>
          </w:p>
          <w:p>
            <w:pPr>
              <w:pStyle w:val="null3"/>
            </w:pPr>
            <w:r>
              <w:rPr>
                <w:rFonts w:ascii="仿宋_GB2312" w:hAnsi="仿宋_GB2312" w:cs="仿宋_GB2312" w:eastAsia="仿宋_GB2312"/>
                <w:color w:val="00B0F0"/>
              </w:rPr>
              <w:t>负责将药房发放的药品及时运送到各科室。</w:t>
            </w:r>
          </w:p>
          <w:p>
            <w:pPr>
              <w:pStyle w:val="null3"/>
            </w:pPr>
            <w:r>
              <w:rPr>
                <w:rFonts w:ascii="仿宋_GB2312" w:hAnsi="仿宋_GB2312" w:cs="仿宋_GB2312" w:eastAsia="仿宋_GB2312"/>
                <w:color w:val="00B0F0"/>
              </w:rPr>
              <w:t>确保药品在运送过程中的安全，防止损坏、丢失或混淆。</w:t>
            </w:r>
          </w:p>
          <w:p>
            <w:pPr>
              <w:pStyle w:val="null3"/>
            </w:pPr>
            <w:r>
              <w:rPr>
                <w:rFonts w:ascii="仿宋_GB2312" w:hAnsi="仿宋_GB2312" w:cs="仿宋_GB2312" w:eastAsia="仿宋_GB2312"/>
                <w:color w:val="00B0F0"/>
              </w:rPr>
              <w:t>4.设备及物资</w:t>
            </w:r>
          </w:p>
          <w:p>
            <w:pPr>
              <w:pStyle w:val="null3"/>
            </w:pPr>
            <w:r>
              <w:rPr>
                <w:rFonts w:ascii="仿宋_GB2312" w:hAnsi="仿宋_GB2312" w:cs="仿宋_GB2312" w:eastAsia="仿宋_GB2312"/>
                <w:color w:val="00B0F0"/>
              </w:rPr>
              <w:t>配备足够数量的运送工具，如轮椅、平车、药箱、标本箱等，且保持设备的良好状态，定期维护和保养。</w:t>
            </w:r>
          </w:p>
          <w:p>
            <w:pPr>
              <w:pStyle w:val="null3"/>
            </w:pPr>
            <w:r>
              <w:rPr>
                <w:rFonts w:ascii="仿宋_GB2312" w:hAnsi="仿宋_GB2312" w:cs="仿宋_GB2312" w:eastAsia="仿宋_GB2312"/>
                <w:color w:val="00B0F0"/>
              </w:rPr>
              <w:t>提供必要的防护用品，如手套、口罩等，以确保运送人员和患者的安全。</w:t>
            </w:r>
          </w:p>
          <w:p>
            <w:pPr>
              <w:pStyle w:val="null3"/>
            </w:pPr>
            <w:r>
              <w:rPr>
                <w:rFonts w:ascii="仿宋_GB2312" w:hAnsi="仿宋_GB2312" w:cs="仿宋_GB2312" w:eastAsia="仿宋_GB2312"/>
                <w:color w:val="00B0F0"/>
              </w:rPr>
              <w:t>5.我院已配备信息化管理平台，后续维护费用须由供应商承担。</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1）任务发布</w:t>
            </w:r>
          </w:p>
          <w:p>
            <w:pPr>
              <w:pStyle w:val="null3"/>
            </w:pPr>
            <w:r>
              <w:rPr>
                <w:rFonts w:ascii="仿宋_GB2312" w:hAnsi="仿宋_GB2312" w:cs="仿宋_GB2312" w:eastAsia="仿宋_GB2312"/>
                <w:color w:val="00B0F0"/>
              </w:rPr>
              <w:t>任务发布分为快捷发布和智能发布；</w:t>
            </w:r>
          </w:p>
          <w:p>
            <w:pPr>
              <w:pStyle w:val="null3"/>
            </w:pPr>
            <w:r>
              <w:rPr>
                <w:rFonts w:ascii="仿宋_GB2312" w:hAnsi="仿宋_GB2312" w:cs="仿宋_GB2312" w:eastAsia="仿宋_GB2312"/>
                <w:color w:val="00B0F0"/>
              </w:rPr>
              <w:t>快捷发布（如一键发布）：科室医护人员可通过多渠道（如</w:t>
            </w:r>
            <w:r>
              <w:rPr>
                <w:rFonts w:ascii="仿宋_GB2312" w:hAnsi="仿宋_GB2312" w:cs="仿宋_GB2312" w:eastAsia="仿宋_GB2312"/>
                <w:color w:val="00B0F0"/>
              </w:rPr>
              <w:t>APP、平板等终端）一键发布任务。</w:t>
            </w:r>
          </w:p>
          <w:p>
            <w:pPr>
              <w:pStyle w:val="null3"/>
            </w:pPr>
            <w:r>
              <w:rPr>
                <w:rFonts w:ascii="仿宋_GB2312" w:hAnsi="仿宋_GB2312" w:cs="仿宋_GB2312" w:eastAsia="仿宋_GB2312"/>
                <w:color w:val="00B0F0"/>
              </w:rPr>
              <w:t>智能发布：系统智能发布任务，计划自动发布任务，支持针对各科室需求定时自动发布任务。</w:t>
            </w:r>
          </w:p>
          <w:p>
            <w:pPr>
              <w:pStyle w:val="null3"/>
            </w:pPr>
            <w:r>
              <w:rPr>
                <w:rFonts w:ascii="仿宋_GB2312" w:hAnsi="仿宋_GB2312" w:cs="仿宋_GB2312" w:eastAsia="仿宋_GB2312"/>
                <w:color w:val="00B0F0"/>
              </w:rPr>
              <w:t>协助功能：任务支持在线跟踪和催单。</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2）运送管理</w:t>
            </w:r>
          </w:p>
          <w:p>
            <w:pPr>
              <w:pStyle w:val="null3"/>
            </w:pPr>
            <w:r>
              <w:rPr>
                <w:rFonts w:ascii="仿宋_GB2312" w:hAnsi="仿宋_GB2312" w:cs="仿宋_GB2312" w:eastAsia="仿宋_GB2312"/>
                <w:color w:val="00B0F0"/>
              </w:rPr>
              <w:t>员工在线接单、抢单，扫码或蓝牙自动感应位置任务订单状态自动响应完成。逾期任务自动提醒、任务催促提醒。员工任务多劳多得，提升员工积极性和服务质量。</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3）在线调度</w:t>
            </w:r>
          </w:p>
          <w:p>
            <w:pPr>
              <w:pStyle w:val="null3"/>
            </w:pPr>
            <w:r>
              <w:rPr>
                <w:rFonts w:ascii="仿宋_GB2312" w:hAnsi="仿宋_GB2312" w:cs="仿宋_GB2312" w:eastAsia="仿宋_GB2312"/>
                <w:color w:val="00B0F0"/>
              </w:rPr>
              <w:t>支持抢单策略、自动派单、手动派单等多种调度策略，</w:t>
            </w:r>
            <w:r>
              <w:rPr>
                <w:rFonts w:ascii="仿宋_GB2312" w:hAnsi="仿宋_GB2312" w:cs="仿宋_GB2312" w:eastAsia="仿宋_GB2312"/>
                <w:color w:val="00B0F0"/>
              </w:rPr>
              <w:t>高效的处理效率。任务明细信息及轨迹同步跟踪，可追溯，便于调度员在线实时监控，跟踪，督促，提升运送效率。</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4）服务评价</w:t>
            </w:r>
          </w:p>
          <w:p>
            <w:pPr>
              <w:pStyle w:val="null3"/>
            </w:pPr>
            <w:r>
              <w:rPr>
                <w:rFonts w:ascii="仿宋_GB2312" w:hAnsi="仿宋_GB2312" w:cs="仿宋_GB2312" w:eastAsia="仿宋_GB2312"/>
                <w:color w:val="00B0F0"/>
              </w:rPr>
              <w:t>任务发起人对运送服务质量的满意度进行单独评价，依据服务评价建议不断的优化工作流程，提供更便捷的服务体验。</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5）数据监控</w:t>
            </w:r>
          </w:p>
          <w:p>
            <w:pPr>
              <w:pStyle w:val="null3"/>
            </w:pPr>
            <w:r>
              <w:rPr>
                <w:rFonts w:ascii="仿宋_GB2312" w:hAnsi="仿宋_GB2312" w:cs="仿宋_GB2312" w:eastAsia="仿宋_GB2312"/>
                <w:color w:val="00B0F0"/>
              </w:rPr>
              <w:t>数据中心一站式监督各科室的任务发布情况和完成情况，异常预警任务（逾期、超时、催促）</w:t>
            </w:r>
            <w:r>
              <w:rPr>
                <w:rFonts w:ascii="仿宋_GB2312" w:hAnsi="仿宋_GB2312" w:cs="仿宋_GB2312" w:eastAsia="仿宋_GB2312"/>
                <w:color w:val="00B0F0"/>
              </w:rPr>
              <w:t>，人员工作效率监控，以图表方式展示七日内订单数、任务完成情况、加急任务完成时间占比、常规任务完成时间占比等数据。</w:t>
            </w:r>
          </w:p>
          <w:p>
            <w:pPr>
              <w:pStyle w:val="null3"/>
            </w:pPr>
            <w:r>
              <w:rPr>
                <w:rFonts w:ascii="仿宋_GB2312" w:hAnsi="仿宋_GB2312" w:cs="仿宋_GB2312" w:eastAsia="仿宋_GB2312"/>
                <w:color w:val="00B0F0"/>
              </w:rPr>
              <w:t>（</w:t>
            </w:r>
            <w:r>
              <w:rPr>
                <w:rFonts w:ascii="仿宋_GB2312" w:hAnsi="仿宋_GB2312" w:cs="仿宋_GB2312" w:eastAsia="仿宋_GB2312"/>
                <w:color w:val="00B0F0"/>
              </w:rPr>
              <w:t>6）决策分析</w:t>
            </w:r>
          </w:p>
          <w:p>
            <w:pPr>
              <w:pStyle w:val="null3"/>
            </w:pPr>
            <w:r>
              <w:rPr>
                <w:rFonts w:ascii="仿宋_GB2312" w:hAnsi="仿宋_GB2312" w:cs="仿宋_GB2312" w:eastAsia="仿宋_GB2312"/>
                <w:color w:val="00B0F0"/>
              </w:rPr>
              <w:t>管理后台形成多维度数据报表对运送情况进行分析，通过对运送类型如送药、标本、</w:t>
            </w:r>
            <w:r>
              <w:rPr>
                <w:rFonts w:ascii="仿宋_GB2312" w:hAnsi="仿宋_GB2312" w:cs="仿宋_GB2312" w:eastAsia="仿宋_GB2312"/>
                <w:color w:val="00B0F0"/>
              </w:rPr>
              <w:t>接送病人、陪检等业务进行多维度分析服务质量和效率，</w:t>
            </w:r>
            <w:r>
              <w:rPr>
                <w:rFonts w:ascii="仿宋_GB2312" w:hAnsi="仿宋_GB2312" w:cs="仿宋_GB2312" w:eastAsia="仿宋_GB2312"/>
                <w:color w:val="00B0F0"/>
              </w:rPr>
              <w:t>为管理者的决策提供数据依据和建议。</w:t>
            </w:r>
          </w:p>
          <w:p>
            <w:pPr>
              <w:pStyle w:val="null3"/>
            </w:pPr>
            <w:r>
              <w:rPr>
                <w:rFonts w:ascii="仿宋_GB2312" w:hAnsi="仿宋_GB2312" w:cs="仿宋_GB2312" w:eastAsia="仿宋_GB2312"/>
                <w:b/>
                <w:color w:val="00B0F0"/>
              </w:rPr>
              <w:t>三、服务要求</w:t>
            </w:r>
          </w:p>
          <w:tbl>
            <w:tblPr>
              <w:tblInd w:type="dxa" w:w="120"/>
              <w:tblBorders>
                <w:top w:val="none" w:color="000000" w:sz="4"/>
                <w:left w:val="none" w:color="000000" w:sz="4"/>
                <w:bottom w:val="none" w:color="000000" w:sz="4"/>
                <w:right w:val="none" w:color="000000" w:sz="4"/>
                <w:insideH w:val="none"/>
                <w:insideV w:val="none"/>
              </w:tblBorders>
            </w:tblPr>
            <w:tblGrid>
              <w:gridCol w:w="262"/>
              <w:gridCol w:w="700"/>
              <w:gridCol w:w="426"/>
              <w:gridCol w:w="1157"/>
            </w:tblGrid>
            <w:tr>
              <w:tc>
                <w:tcPr>
                  <w:tcW w:type="dxa" w:w="2545"/>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患者服务管理中心人员配置及要求</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序号</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岗位名称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岗位人数</w:t>
                  </w:r>
                </w:p>
              </w:tc>
              <w:tc>
                <w:tcPr>
                  <w:tcW w:type="dxa" w:w="1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要求</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陪检、陪诊及转科服务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5人</w:t>
                  </w:r>
                </w:p>
              </w:tc>
              <w:tc>
                <w:tcPr>
                  <w:tcW w:type="dxa" w:w="11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B0F0"/>
                    </w:rPr>
                    <w:t>医学相关专业中专及以上学历、</w:t>
                  </w:r>
                  <w:r>
                    <w:rPr>
                      <w:rFonts w:ascii="仿宋_GB2312" w:hAnsi="仿宋_GB2312" w:cs="仿宋_GB2312" w:eastAsia="仿宋_GB2312"/>
                      <w:sz w:val="19"/>
                      <w:color w:val="00B0F0"/>
                    </w:rPr>
                    <w:t>2年及以上相关岗位工作经验、年龄≤45岁</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药品配送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4人</w:t>
                  </w:r>
                </w:p>
              </w:tc>
              <w:tc>
                <w:tcPr>
                  <w:tcW w:type="dxa" w:w="1157"/>
                  <w:vMerge/>
                  <w:tcBorders>
                    <w:top w:val="none" w:color="000000" w:sz="4"/>
                    <w:left w:val="none" w:color="000000" w:sz="4"/>
                    <w:bottom w:val="single" w:color="000000" w:sz="4"/>
                    <w:right w:val="single" w:color="000000" w:sz="4"/>
                  </w:tcBorders>
                </w:tc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3</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洁污被（工）服运送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2人</w:t>
                  </w:r>
                </w:p>
              </w:tc>
              <w:tc>
                <w:tcPr>
                  <w:tcW w:type="dxa" w:w="11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B0F0"/>
                    </w:rPr>
                    <w:t>高中及以上学历、</w:t>
                  </w:r>
                  <w:r>
                    <w:rPr>
                      <w:rFonts w:ascii="仿宋_GB2312" w:hAnsi="仿宋_GB2312" w:cs="仿宋_GB2312" w:eastAsia="仿宋_GB2312"/>
                      <w:sz w:val="19"/>
                      <w:color w:val="00B0F0"/>
                    </w:rPr>
                    <w:t>2年及以上相关岗位工作经验、年龄≤45岁</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4</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物耗配送、一次性耗材配送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1人</w:t>
                  </w:r>
                </w:p>
              </w:tc>
              <w:tc>
                <w:tcPr>
                  <w:tcW w:type="dxa" w:w="1157"/>
                  <w:vMerge/>
                  <w:tcBorders>
                    <w:top w:val="none" w:color="000000" w:sz="4"/>
                    <w:left w:val="none" w:color="000000" w:sz="4"/>
                    <w:bottom w:val="single" w:color="000000" w:sz="4"/>
                    <w:right w:val="single" w:color="000000" w:sz="4"/>
                  </w:tcBorders>
                </w:tc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标本配送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4人</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B0F0"/>
                    </w:rPr>
                    <w:t>医学相关专业中专及以上学历、</w:t>
                  </w:r>
                  <w:r>
                    <w:rPr>
                      <w:rFonts w:ascii="仿宋_GB2312" w:hAnsi="仿宋_GB2312" w:cs="仿宋_GB2312" w:eastAsia="仿宋_GB2312"/>
                      <w:sz w:val="19"/>
                      <w:color w:val="00B0F0"/>
                    </w:rPr>
                    <w:t>2年及以上相关岗位工作经验、年龄≤45岁</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6</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驻科护理员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2人</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B0F0"/>
                    </w:rPr>
                    <w:t>护理相关专业或中专及以上学历、</w:t>
                  </w:r>
                  <w:r>
                    <w:rPr>
                      <w:rFonts w:ascii="仿宋_GB2312" w:hAnsi="仿宋_GB2312" w:cs="仿宋_GB2312" w:eastAsia="仿宋_GB2312"/>
                      <w:sz w:val="19"/>
                      <w:color w:val="00B0F0"/>
                    </w:rPr>
                    <w:t>2年及以上相关岗位工作经验、年龄≤55岁</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7</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管理人员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1人</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B0F0"/>
                    </w:rPr>
                    <w:t>医学相关专业大专及以上学历、</w:t>
                  </w:r>
                  <w:r>
                    <w:rPr>
                      <w:rFonts w:ascii="仿宋_GB2312" w:hAnsi="仿宋_GB2312" w:cs="仿宋_GB2312" w:eastAsia="仿宋_GB2312"/>
                      <w:sz w:val="19"/>
                      <w:color w:val="00B0F0"/>
                    </w:rPr>
                    <w:t>2年及以上相关岗位工作经验、年龄≤50岁</w:t>
                  </w:r>
                </w:p>
              </w:tc>
            </w:tr>
            <w:tr>
              <w:tc>
                <w:tcPr>
                  <w:tcW w:type="dxa" w:w="254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合计：</w:t>
                  </w:r>
                  <w:r>
                    <w:rPr>
                      <w:rFonts w:ascii="仿宋_GB2312" w:hAnsi="仿宋_GB2312" w:cs="仿宋_GB2312" w:eastAsia="仿宋_GB2312"/>
                      <w:sz w:val="19"/>
                      <w:color w:val="00B0F0"/>
                    </w:rPr>
                    <w:t>19人</w:t>
                  </w:r>
                </w:p>
              </w:tc>
            </w:tr>
          </w:tbl>
          <w:p>
            <w:pPr>
              <w:pStyle w:val="null3"/>
            </w:pPr>
            <w:r>
              <w:rPr>
                <w:rFonts w:ascii="仿宋_GB2312" w:hAnsi="仿宋_GB2312" w:cs="仿宋_GB2312" w:eastAsia="仿宋_GB2312"/>
                <w:color w:val="00B0F0"/>
              </w:rPr>
              <w:t>1.工作人员应具备良好的职业道德和服务意识，身体健康，无不良嗜好和违法犯罪记录。</w:t>
            </w:r>
          </w:p>
          <w:p>
            <w:pPr>
              <w:pStyle w:val="null3"/>
            </w:pPr>
            <w:r>
              <w:rPr>
                <w:rFonts w:ascii="仿宋_GB2312" w:hAnsi="仿宋_GB2312" w:cs="仿宋_GB2312" w:eastAsia="仿宋_GB2312"/>
                <w:color w:val="00B0F0"/>
              </w:rPr>
              <w:t>2.具备护士执业资格证等执业资质或经过专业培训后能尽快熟悉医院环境、运送流程和安全规范。</w:t>
            </w:r>
          </w:p>
          <w:p>
            <w:pPr>
              <w:pStyle w:val="null3"/>
            </w:pPr>
            <w:r>
              <w:rPr>
                <w:rFonts w:ascii="仿宋_GB2312" w:hAnsi="仿宋_GB2312" w:cs="仿宋_GB2312" w:eastAsia="仿宋_GB2312"/>
                <w:color w:val="00B0F0"/>
              </w:rPr>
              <w:t>3.设立24小时的调度中心，以满足各科室的需求。</w:t>
            </w:r>
          </w:p>
          <w:p>
            <w:pPr>
              <w:pStyle w:val="null3"/>
            </w:pPr>
            <w:r>
              <w:rPr>
                <w:rFonts w:ascii="仿宋_GB2312" w:hAnsi="仿宋_GB2312" w:cs="仿宋_GB2312" w:eastAsia="仿宋_GB2312"/>
                <w:color w:val="00B0F0"/>
              </w:rPr>
              <w:t>4.物品运送工作按照科室计划，减少随机性，按照规定的时间、线路运送物资物品。</w:t>
            </w:r>
          </w:p>
          <w:p>
            <w:pPr>
              <w:pStyle w:val="null3"/>
            </w:pPr>
            <w:r>
              <w:rPr>
                <w:rFonts w:ascii="仿宋_GB2312" w:hAnsi="仿宋_GB2312" w:cs="仿宋_GB2312" w:eastAsia="仿宋_GB2312"/>
                <w:color w:val="00B0F0"/>
              </w:rPr>
              <w:t>5.加强运送工作的核对措施，杜绝任何形式的失误，保证运送物品的安全。及时积极完成医护人员临时交办的工作。</w:t>
            </w:r>
          </w:p>
          <w:p>
            <w:pPr>
              <w:pStyle w:val="null3"/>
            </w:pPr>
            <w:r>
              <w:rPr>
                <w:rFonts w:ascii="仿宋_GB2312" w:hAnsi="仿宋_GB2312" w:cs="仿宋_GB2312" w:eastAsia="仿宋_GB2312"/>
                <w:color w:val="00B0F0"/>
              </w:rPr>
              <w:t>6.具备足够的应急措施和人员应对突发医疗紧急状况，服从院方安排，当紧急突发事件发生时，以最快速度调集大量人力赶赴现场进行支援。</w:t>
            </w:r>
          </w:p>
          <w:p>
            <w:pPr>
              <w:pStyle w:val="null3"/>
            </w:pPr>
            <w:r>
              <w:rPr>
                <w:rFonts w:ascii="仿宋_GB2312" w:hAnsi="仿宋_GB2312" w:cs="仿宋_GB2312" w:eastAsia="仿宋_GB2312"/>
                <w:color w:val="00B0F0"/>
              </w:rPr>
              <w:t>7.运送准确率应达到100%，及时率应达到98%以上。</w:t>
            </w:r>
          </w:p>
          <w:p>
            <w:pPr>
              <w:pStyle w:val="null3"/>
            </w:pPr>
            <w:r>
              <w:rPr>
                <w:rFonts w:ascii="仿宋_GB2312" w:hAnsi="仿宋_GB2312" w:cs="仿宋_GB2312" w:eastAsia="仿宋_GB2312"/>
                <w:color w:val="00B0F0"/>
              </w:rPr>
              <w:t>8.工作人员按规范着装，仪表整洁、言谈举止符合医院规定，服务热情，态度和蔼，文明礼貌，为病员提供优质服务，及时响应临床需求。</w:t>
            </w:r>
          </w:p>
          <w:p>
            <w:pPr>
              <w:pStyle w:val="null3"/>
            </w:pPr>
            <w:r>
              <w:rPr>
                <w:rFonts w:ascii="仿宋_GB2312" w:hAnsi="仿宋_GB2312" w:cs="仿宋_GB2312" w:eastAsia="仿宋_GB2312"/>
                <w:color w:val="00B0F0"/>
              </w:rPr>
              <w:t>9.应加强安全教育，运送服务人员在运送中注意安全，运送过程中，出现异常情况及时报告、并应急处置。</w:t>
            </w:r>
          </w:p>
          <w:p>
            <w:pPr>
              <w:pStyle w:val="null3"/>
            </w:pPr>
            <w:r>
              <w:rPr>
                <w:rFonts w:ascii="仿宋_GB2312" w:hAnsi="仿宋_GB2312" w:cs="仿宋_GB2312" w:eastAsia="仿宋_GB2312"/>
                <w:color w:val="00B0F0"/>
              </w:rPr>
              <w:t>10.配送人员不能与患者及家属发生争执，不得向患者及家属索要或者接受礼物和小费。</w:t>
            </w:r>
          </w:p>
          <w:p>
            <w:pPr>
              <w:pStyle w:val="null3"/>
            </w:pPr>
            <w:r>
              <w:rPr>
                <w:rFonts w:ascii="仿宋_GB2312" w:hAnsi="仿宋_GB2312" w:cs="仿宋_GB2312" w:eastAsia="仿宋_GB2312"/>
                <w:color w:val="00B0F0"/>
              </w:rPr>
              <w:t>11.配送人员不损坏、不丢失院方财物。正确使用运输工具，不得人为损坏。并每天按规范进行清洁消毒。</w:t>
            </w:r>
          </w:p>
          <w:p>
            <w:pPr>
              <w:pStyle w:val="null3"/>
            </w:pPr>
            <w:r>
              <w:rPr>
                <w:rFonts w:ascii="仿宋_GB2312" w:hAnsi="仿宋_GB2312" w:cs="仿宋_GB2312" w:eastAsia="仿宋_GB2312"/>
                <w:color w:val="00B0F0"/>
              </w:rPr>
              <w:t>12.工作出现差错不隐瞒，如实报告及时处理，尽最大努力减少对患者的人身损害及财产损失。</w:t>
            </w:r>
          </w:p>
          <w:p>
            <w:pPr>
              <w:pStyle w:val="null3"/>
            </w:pPr>
            <w:r>
              <w:rPr>
                <w:rFonts w:ascii="仿宋_GB2312" w:hAnsi="仿宋_GB2312" w:cs="仿宋_GB2312" w:eastAsia="仿宋_GB2312"/>
                <w:color w:val="00B0F0"/>
              </w:rPr>
              <w:t>13.运送调度中心全天为临床服务，供应商应配备相应的通讯设施设备并保证通讯畅通，24小时无间断接受指派，并做好记录，不得无故停机造成工作秩序混乱。</w:t>
            </w:r>
          </w:p>
          <w:p>
            <w:pPr>
              <w:pStyle w:val="null3"/>
            </w:pPr>
            <w:r>
              <w:rPr>
                <w:rFonts w:ascii="仿宋_GB2312" w:hAnsi="仿宋_GB2312" w:cs="仿宋_GB2312" w:eastAsia="仿宋_GB2312"/>
                <w:color w:val="00B0F0"/>
              </w:rPr>
              <w:t>14.物品运送服务范围和对象包含全院所有部门、所有运送服务需完成当面清点及书面交接手续。</w:t>
            </w:r>
          </w:p>
          <w:p>
            <w:pPr>
              <w:pStyle w:val="null3"/>
            </w:pPr>
            <w:r>
              <w:rPr>
                <w:rFonts w:ascii="仿宋_GB2312" w:hAnsi="仿宋_GB2312" w:cs="仿宋_GB2312" w:eastAsia="仿宋_GB2312"/>
                <w:color w:val="00B0F0"/>
              </w:rPr>
              <w:t>15.协助完成医院指派的其他任务，主要包括（但不仅限于）：院内义诊、会场布置、院内宣传现场布置等。</w:t>
            </w:r>
          </w:p>
          <w:p>
            <w:pPr>
              <w:pStyle w:val="null3"/>
            </w:pPr>
            <w:r>
              <w:rPr>
                <w:rFonts w:ascii="仿宋_GB2312" w:hAnsi="仿宋_GB2312" w:cs="仿宋_GB2312" w:eastAsia="仿宋_GB2312"/>
                <w:color w:val="00B0F0"/>
              </w:rPr>
              <w:t>16.供应商用工人员必须按照医院的管理要求，严格遵守相关的制度，若不服从管理或教育无效者，院方有权要求予以更换，并对供应商予以处罚。</w:t>
            </w:r>
          </w:p>
          <w:p>
            <w:pPr>
              <w:pStyle w:val="null3"/>
            </w:pPr>
            <w:r>
              <w:rPr>
                <w:rFonts w:ascii="仿宋_GB2312" w:hAnsi="仿宋_GB2312" w:cs="仿宋_GB2312" w:eastAsia="仿宋_GB2312"/>
                <w:color w:val="00B0F0"/>
              </w:rPr>
              <w:t>17.每天按照医院约定时间下科室收取、清点、整理、检查登记标本、物资数量，严格按照约定进行分类、运送。按时将物资送达各科室，认真履行发放手续，经详细核对、检查记录方可发送，做到运送及时，数量准确无误，保证科室需要。</w:t>
            </w:r>
          </w:p>
          <w:p>
            <w:pPr>
              <w:pStyle w:val="null3"/>
            </w:pPr>
            <w:r>
              <w:rPr>
                <w:rFonts w:ascii="仿宋_GB2312" w:hAnsi="仿宋_GB2312" w:cs="仿宋_GB2312" w:eastAsia="仿宋_GB2312"/>
                <w:color w:val="00B0F0"/>
              </w:rPr>
              <w:t>附：考核办法</w:t>
            </w:r>
          </w:p>
          <w:tbl>
            <w:tblPr>
              <w:tblInd w:type="dxa" w:w="75"/>
              <w:tblBorders>
                <w:top w:val="none" w:color="000000" w:sz="4"/>
                <w:left w:val="none" w:color="000000" w:sz="4"/>
                <w:bottom w:val="none" w:color="000000" w:sz="4"/>
                <w:right w:val="none" w:color="000000" w:sz="4"/>
                <w:insideH w:val="none"/>
                <w:insideV w:val="none"/>
              </w:tblBorders>
            </w:tblPr>
            <w:tblGrid>
              <w:gridCol w:w="432"/>
              <w:gridCol w:w="1605"/>
              <w:gridCol w:w="260"/>
              <w:gridCol w:w="248"/>
            </w:tblGrid>
            <w:tr>
              <w:tc>
                <w:tcPr>
                  <w:tcW w:type="dxa" w:w="2545"/>
                  <w:gridSpan w:val="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西安市第五医院患者服务管理中心工作质量考评标准</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项目</w:t>
                  </w:r>
                </w:p>
              </w:tc>
              <w:tc>
                <w:tcPr>
                  <w:tcW w:type="dxa" w:w="16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评分标准</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得分标准</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考核得分</w:t>
                  </w:r>
                </w:p>
              </w:tc>
            </w:tr>
            <w:tr>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项目管理</w:t>
                  </w:r>
                </w:p>
                <w:p>
                  <w:pPr>
                    <w:pStyle w:val="null3"/>
                    <w:jc w:val="center"/>
                  </w:pPr>
                  <w:r>
                    <w:rPr>
                      <w:rFonts w:ascii="仿宋_GB2312" w:hAnsi="仿宋_GB2312" w:cs="仿宋_GB2312" w:eastAsia="仿宋_GB2312"/>
                      <w:sz w:val="19"/>
                      <w:color w:val="00B0F0"/>
                    </w:rPr>
                    <w:t>（</w:t>
                  </w:r>
                  <w:r>
                    <w:rPr>
                      <w:rFonts w:ascii="仿宋_GB2312" w:hAnsi="仿宋_GB2312" w:cs="仿宋_GB2312" w:eastAsia="仿宋_GB2312"/>
                      <w:sz w:val="19"/>
                      <w:color w:val="00B0F0"/>
                    </w:rPr>
                    <w:t>10分）</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1.制度完善、各项工作能够遵照制度严格执行</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2.管理人员每日巡查、定期有检查、并有记录可查</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3.人员稳定、离职率少于10%、储备人员充足</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4.总公司对项目管理人员有考核</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安全管理</w:t>
                  </w:r>
                </w:p>
                <w:p>
                  <w:pPr>
                    <w:pStyle w:val="null3"/>
                    <w:jc w:val="center"/>
                  </w:pPr>
                  <w:r>
                    <w:rPr>
                      <w:rFonts w:ascii="仿宋_GB2312" w:hAnsi="仿宋_GB2312" w:cs="仿宋_GB2312" w:eastAsia="仿宋_GB2312"/>
                      <w:sz w:val="19"/>
                      <w:color w:val="00B0F0"/>
                    </w:rPr>
                    <w:t>（</w:t>
                  </w:r>
                  <w:r>
                    <w:rPr>
                      <w:rFonts w:ascii="仿宋_GB2312" w:hAnsi="仿宋_GB2312" w:cs="仿宋_GB2312" w:eastAsia="仿宋_GB2312"/>
                      <w:sz w:val="19"/>
                      <w:color w:val="00B0F0"/>
                    </w:rPr>
                    <w:t>8分）</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1.本月安全事故率“0”</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2.有完善应急预案，并有现场演练，有不良事件逐级报告制度及整改措施。</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员工管理</w:t>
                  </w:r>
                </w:p>
                <w:p>
                  <w:pPr>
                    <w:pStyle w:val="null3"/>
                    <w:jc w:val="center"/>
                  </w:pPr>
                  <w:r>
                    <w:rPr>
                      <w:rFonts w:ascii="仿宋_GB2312" w:hAnsi="仿宋_GB2312" w:cs="仿宋_GB2312" w:eastAsia="仿宋_GB2312"/>
                      <w:sz w:val="19"/>
                      <w:color w:val="00B0F0"/>
                    </w:rPr>
                    <w:t>（</w:t>
                  </w:r>
                  <w:r>
                    <w:rPr>
                      <w:rFonts w:ascii="仿宋_GB2312" w:hAnsi="仿宋_GB2312" w:cs="仿宋_GB2312" w:eastAsia="仿宋_GB2312"/>
                      <w:sz w:val="19"/>
                      <w:color w:val="00B0F0"/>
                    </w:rPr>
                    <w:t>10分）</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1.按合同约定配足各岗位人员，保证岗位服务达标</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2.有可靠的员工补充储备系统，及时补充离职人员岗位，其院内其他外包公司除名员工不允许录用</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3.有员工考核激励机制并得到较好的执行</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4.员工工作热情饱满，服务态度好，能够按要求着装并做到语言文明</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5.对院内临床科室的投诉和意见能够及时整改处理</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员工培训</w:t>
                  </w:r>
                </w:p>
                <w:p>
                  <w:pPr>
                    <w:pStyle w:val="null3"/>
                    <w:jc w:val="center"/>
                  </w:pPr>
                  <w:r>
                    <w:rPr>
                      <w:rFonts w:ascii="仿宋_GB2312" w:hAnsi="仿宋_GB2312" w:cs="仿宋_GB2312" w:eastAsia="仿宋_GB2312"/>
                      <w:sz w:val="19"/>
                      <w:color w:val="00B0F0"/>
                    </w:rPr>
                    <w:t>（</w:t>
                  </w:r>
                  <w:r>
                    <w:rPr>
                      <w:rFonts w:ascii="仿宋_GB2312" w:hAnsi="仿宋_GB2312" w:cs="仿宋_GB2312" w:eastAsia="仿宋_GB2312"/>
                      <w:sz w:val="19"/>
                      <w:color w:val="00B0F0"/>
                    </w:rPr>
                    <w:t>6分）</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1.每月有工作计划和上月工作小结，对存在的问题有整改落实方案。</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2.有员工培训计划，和上月培训考核内容及参加员工培训考核的签到表、记录表、有考核结果小结。</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综合管理</w:t>
                  </w:r>
                </w:p>
                <w:p>
                  <w:pPr>
                    <w:pStyle w:val="null3"/>
                    <w:jc w:val="center"/>
                  </w:pPr>
                  <w:r>
                    <w:rPr>
                      <w:rFonts w:ascii="仿宋_GB2312" w:hAnsi="仿宋_GB2312" w:cs="仿宋_GB2312" w:eastAsia="仿宋_GB2312"/>
                      <w:sz w:val="19"/>
                      <w:color w:val="00B0F0"/>
                    </w:rPr>
                    <w:t>（</w:t>
                  </w:r>
                  <w:r>
                    <w:rPr>
                      <w:rFonts w:ascii="仿宋_GB2312" w:hAnsi="仿宋_GB2312" w:cs="仿宋_GB2312" w:eastAsia="仿宋_GB2312"/>
                      <w:sz w:val="19"/>
                      <w:color w:val="00B0F0"/>
                    </w:rPr>
                    <w:t>10分）</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1.项目部能够每月对不同科室发放满意度调查，并且得分不能低于90分</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2.管理人员定期召开质量管理例会，周例会、月员工大会</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3.每月针对各岗位存在的问题和不足，有整改措施及方案</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送药管理</w:t>
                  </w:r>
                </w:p>
                <w:p>
                  <w:pPr>
                    <w:pStyle w:val="null3"/>
                    <w:jc w:val="center"/>
                  </w:pPr>
                  <w:r>
                    <w:rPr>
                      <w:rFonts w:ascii="仿宋_GB2312" w:hAnsi="仿宋_GB2312" w:cs="仿宋_GB2312" w:eastAsia="仿宋_GB2312"/>
                      <w:sz w:val="19"/>
                      <w:color w:val="00B0F0"/>
                    </w:rPr>
                    <w:t>（</w:t>
                  </w:r>
                  <w:r>
                    <w:rPr>
                      <w:rFonts w:ascii="仿宋_GB2312" w:hAnsi="仿宋_GB2312" w:cs="仿宋_GB2312" w:eastAsia="仿宋_GB2312"/>
                      <w:sz w:val="19"/>
                      <w:color w:val="00B0F0"/>
                    </w:rPr>
                    <w:t>20分）</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1.送药做到认真查对:药品有无破损情况，在送药单上双方签字，数量问题科室和药房沟通良好及时应答。</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2.抢救药品、冷链等药品限时送达科室并签字（5-10分钟内）</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3.药品封箱是否完好，送到科室时安全扎带无松开或剪开痕迹</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4.常规药、临时药能够按时、无误准确送达科室</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陪检服务（</w:t>
                  </w:r>
                  <w:r>
                    <w:rPr>
                      <w:rFonts w:ascii="仿宋_GB2312" w:hAnsi="仿宋_GB2312" w:cs="仿宋_GB2312" w:eastAsia="仿宋_GB2312"/>
                      <w:sz w:val="19"/>
                      <w:color w:val="00B0F0"/>
                    </w:rPr>
                    <w:t>10分）</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1.有特殊要求的陪检、转运病人，离开病区前向护士问清相关注意事项，保证患者安全</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2.陪检过程中需暂离患者时，应做好解释工作，不得让患者自行往返</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3.应用运送工具时，需先检查工具的安全性，用后将工具完整归还</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4.对行动不便或意识障碍的患者，应全程陪送，不得离开，必要时给与帮助</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标本运送（</w:t>
                  </w:r>
                  <w:r>
                    <w:rPr>
                      <w:rFonts w:ascii="仿宋_GB2312" w:hAnsi="仿宋_GB2312" w:cs="仿宋_GB2312" w:eastAsia="仿宋_GB2312"/>
                      <w:sz w:val="19"/>
                      <w:color w:val="00B0F0"/>
                    </w:rPr>
                    <w:t>8分）</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1.转运标本时，注意保密性，避免泄露患者隐私</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2.标本应尽快送往实验室，以保证新鲜度，急查项目需限时送达。</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3.标本的运送应遵循规定的运输温度要求，避免温度过高或过低导致标本质量变化</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4.标本运送应注意安全性，防止标本泄漏、破损、被盗等情况发生</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其他运送管理</w:t>
                  </w:r>
                </w:p>
                <w:p>
                  <w:pPr>
                    <w:pStyle w:val="null3"/>
                    <w:jc w:val="center"/>
                  </w:pPr>
                  <w:r>
                    <w:rPr>
                      <w:rFonts w:ascii="仿宋_GB2312" w:hAnsi="仿宋_GB2312" w:cs="仿宋_GB2312" w:eastAsia="仿宋_GB2312"/>
                      <w:sz w:val="19"/>
                      <w:color w:val="00B0F0"/>
                    </w:rPr>
                    <w:t>（</w:t>
                  </w:r>
                  <w:r>
                    <w:rPr>
                      <w:rFonts w:ascii="仿宋_GB2312" w:hAnsi="仿宋_GB2312" w:cs="仿宋_GB2312" w:eastAsia="仿宋_GB2312"/>
                      <w:sz w:val="19"/>
                      <w:color w:val="00B0F0"/>
                    </w:rPr>
                    <w:t>12分）</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1.能够服从科室领导的工作安排，并能够及时完成临时工作任务。</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2.确保运送物资的完好无损，无遗漏，数量准确。</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3.收送过程中服务态度良好，无临床科室服务不良的投诉。</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4.岗位技能熟练，能够灵活处置突发事件</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5.及时完成运送任务，确保工作任务的完成</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6.门禁管理服务人员服务态度良好、着装规范、服从科室管理及要求</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管理人员</w:t>
                  </w:r>
                </w:p>
                <w:p>
                  <w:pPr>
                    <w:pStyle w:val="null3"/>
                    <w:jc w:val="center"/>
                  </w:pPr>
                  <w:r>
                    <w:rPr>
                      <w:rFonts w:ascii="仿宋_GB2312" w:hAnsi="仿宋_GB2312" w:cs="仿宋_GB2312" w:eastAsia="仿宋_GB2312"/>
                      <w:sz w:val="19"/>
                      <w:color w:val="00B0F0"/>
                    </w:rPr>
                    <w:t>（</w:t>
                  </w:r>
                  <w:r>
                    <w:rPr>
                      <w:rFonts w:ascii="仿宋_GB2312" w:hAnsi="仿宋_GB2312" w:cs="仿宋_GB2312" w:eastAsia="仿宋_GB2312"/>
                      <w:sz w:val="19"/>
                      <w:color w:val="00B0F0"/>
                    </w:rPr>
                    <w:t>6分）</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1.认真完成院方交付的其他工作任务</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2.做好项目人员的管理，确保医院运送工作正常高效有序进行</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vMerge/>
                  <w:tcBorders>
                    <w:top w:val="none" w:color="000000" w:sz="4"/>
                    <w:left w:val="singl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3.项目工作有计划，有执行、有检查、有完善循环路径。</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B0F0"/>
                    </w:rPr>
                    <w:t>备注</w:t>
                  </w:r>
                </w:p>
              </w:tc>
              <w:tc>
                <w:tcPr>
                  <w:tcW w:type="dxa" w:w="211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B0F0"/>
                    </w:rPr>
                    <w:t>确保后勤运维平台正常运行，因人为因素擅自停止使用或与患者、家属发生冲突，造成甲方秩序混乱的，扣发当月服务费</w:t>
                  </w:r>
                  <w:r>
                    <w:rPr>
                      <w:rFonts w:ascii="仿宋_GB2312" w:hAnsi="仿宋_GB2312" w:cs="仿宋_GB2312" w:eastAsia="仿宋_GB2312"/>
                      <w:sz w:val="19"/>
                      <w:color w:val="00B0F0"/>
                    </w:rPr>
                    <w:t>20%。</w:t>
                  </w:r>
                </w:p>
              </w:tc>
            </w:tr>
          </w:tbl>
          <w:p>
            <w:pPr>
              <w:pStyle w:val="null3"/>
            </w:pPr>
            <w:r>
              <w:rPr>
                <w:rFonts w:ascii="仿宋_GB2312" w:hAnsi="仿宋_GB2312" w:cs="仿宋_GB2312" w:eastAsia="仿宋_GB2312"/>
                <w:color w:val="00B0F0"/>
              </w:rPr>
              <w:t>1.根据《西安市第五医院患者服务管理中心工作质量考评标准》对相关工作进行考核，医院监管部门每月根据医护人员的满意度调查表、病友满意度调查表打分。并在次季度第一个月的10个工作日内将考核情况报于财务科以作奖惩的依据。</w:t>
            </w:r>
          </w:p>
          <w:p>
            <w:pPr>
              <w:pStyle w:val="null3"/>
            </w:pPr>
            <w:r>
              <w:rPr>
                <w:rFonts w:ascii="仿宋_GB2312" w:hAnsi="仿宋_GB2312" w:cs="仿宋_GB2312" w:eastAsia="仿宋_GB2312"/>
                <w:color w:val="00B0F0"/>
              </w:rPr>
              <w:t>2.供应方负责项目的日常工作管理，安排监管人员深入临床科室进行工作督查，向科室负责人、当值人员、病人和陪人等了解临床支持服务的日常工作情况，或现场考评临床支持服务人员。</w:t>
            </w:r>
          </w:p>
          <w:p>
            <w:pPr>
              <w:pStyle w:val="null3"/>
            </w:pPr>
            <w:r>
              <w:rPr>
                <w:rFonts w:ascii="仿宋_GB2312" w:hAnsi="仿宋_GB2312" w:cs="仿宋_GB2312" w:eastAsia="仿宋_GB2312"/>
                <w:color w:val="00B0F0"/>
              </w:rPr>
              <w:t>3.每月月初由医院监管部门牵头召集现场考评小组成员参加现场考评并召开月度考评会，听取临床支持服务公司的月度工作汇报，并到工作现场根据考核标准对临床支持工作进行考核评分。</w:t>
            </w:r>
          </w:p>
          <w:p>
            <w:pPr>
              <w:pStyle w:val="null3"/>
            </w:pPr>
            <w:r>
              <w:rPr>
                <w:rFonts w:ascii="仿宋_GB2312" w:hAnsi="仿宋_GB2312" w:cs="仿宋_GB2312" w:eastAsia="仿宋_GB2312"/>
                <w:color w:val="00B0F0"/>
              </w:rPr>
              <w:t>4.考评小组有对当月考评总分酌情加分及减分权限。</w:t>
            </w:r>
          </w:p>
          <w:p>
            <w:pPr>
              <w:pStyle w:val="null3"/>
            </w:pPr>
            <w:r>
              <w:rPr>
                <w:rFonts w:ascii="仿宋_GB2312" w:hAnsi="仿宋_GB2312" w:cs="仿宋_GB2312" w:eastAsia="仿宋_GB2312"/>
                <w:color w:val="00B0F0"/>
              </w:rPr>
              <w:t>5.奖惩</w:t>
            </w:r>
          </w:p>
          <w:p>
            <w:pPr>
              <w:pStyle w:val="null3"/>
            </w:pPr>
            <w:r>
              <w:rPr>
                <w:rFonts w:ascii="仿宋_GB2312" w:hAnsi="仿宋_GB2312" w:cs="仿宋_GB2312" w:eastAsia="仿宋_GB2312"/>
                <w:sz w:val="21"/>
                <w:color w:val="00B0F0"/>
              </w:rPr>
              <w:t>月度考核总分为</w:t>
            </w:r>
            <w:r>
              <w:rPr>
                <w:rFonts w:ascii="仿宋_GB2312" w:hAnsi="仿宋_GB2312" w:cs="仿宋_GB2312" w:eastAsia="仿宋_GB2312"/>
                <w:sz w:val="21"/>
                <w:color w:val="00B0F0"/>
              </w:rPr>
              <w:t>100分，低于90分予以扣款，每低一分扣除当月服务费用的5‰，所有扣款全部在当月甲方应付服务费用中扣除。连续三次罚款，将书面通知，如30日内仍无改进，甲方有权终止合同。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满足患者服务管理中心人员配置及要求。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进度要求： 1、合同签订之日起一周内完成全院患者服务管理中心的信息化建设和使用。 2、合同签订之日起二周内全院临床支持服务平稳开展运行。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服务期限为一年。患者服务管理中心项目合作期间免年维护费、系统升级及软硬件维修更换由中标方全权处理。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方式：供应商与采购人应严格按照《财政部关于进一步加强政府采购需求和履约验收管理的指导意见》进行验收。（2）考核办法：根据《西安市第五医院患者服务管理中心工作质量考评标准》对相关工作进行考核。</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出具符合采购人要求的增值税普通发票，采购人审核合格后按季度支付，扣除季度考核扣款后，实际结算金额采购人依据采购文件的约定及供应商的服务数量、质量及满意度等结果，据实结算。结算日期为次季度第一个月，收到发票10个工作日，支付开票金额的100%</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1.依据《中华人民共和国民法典》中的相关条款执行。 2.按合同约定执行。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 1.根据《西安市财政局关于促进政府采购公平竞争优化营商环境的通知》市财函[2021]431号文第16条 供应商登记免费领取采购文件的，如不参与项目投标，应在递交投标（或响应）文件截止时间前一日以书面形式告知采购代理机构（接收邮箱：1129400144@qq.com）。否则，采购代理机构可以向财政部门反应情况并提供相应的佐证，供应商一年内累计出现三次该情形，将被监管部门记录为失信行为。 2.其他商务要求：本章节 3.3.5支付约定为系统制式推送内容，本项目具体付款方式以下列描述为准： 本项目总预算：大写 元：小写 元，原项目配置软硬件维护继续由乙方免费维护，不另行计费。 每月根据患者服务管理中心人员实际打卡情况进行考核，考核标准如下： 服务费用按照每月实际缺勤人数扣款（实际服务费中标价格/19人/12月）。 注：患者服务管理中心中央运送到岗人数为患者服务管理中心人员实际打卡工作天数在22天以上者（含22天）且工作量不低于380单/月；驻科护理员按照实际出勤天数（不少于22天）付款。每月到岗人数须满足甲方实际工作需求，低于甲方要求服务人数或配置低于10人，甲方有权终止服务合同，同时乙方须赔偿甲方损失。其他考核标准详见合同附件。 服务协议签订后，甲方需在签订日期后的协议期内按照与乙方约定支付服务费用。 合同总价一次性包死，不受市场价格变化因素的影响。 费用每季度结算一次，每季度支付费用=服务费总价/4减去每季度考核扣款。结算日期为收到乙方发票10个工作日内结算上季度费用。实际结算金额甲方依据本合同的约定及乙方的服务数量、质量及满意度等结果，据实结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单位负责人为同一人或者存在直接控股、管理关系的其他供应商不得参与同一合同项下的政府采购活动的行为。</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③财政部、国家发展改革委《关于印发〈节能产品政府采购实施意见〉的通知》 (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④《陕西省财政厅关于加快推进我省中小企业政府采购信用融资工作的通知》(陕财办采〔2020〕15号)、陕西省财政厅关于印发《陕西省中小企业政府采购信用融资办法》(陕财办采〔2018〕23号);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供应商为向采购人提供服务的法人或其他组织；</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供应商提供2024年度的财务审计报告或供应商基本户开户银行近三个月内出具的资信证明(须提供基本户开户许可证或基本户开户信息)或供应商提供在磋商截止时间前三个月内由信用担保机构出具的投标担保函；</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供应商提供2025年1月1日以来任意三个月的纳税缴纳证明，免税企业提供税务机关出具相关的有效证明材料；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1日以来任意三个月的社保缴纳证明，其他组织形式供应商(如个体工商户、合作社、自然人等)可提供法人或负责人个人2025年1月1日以来任意三个月的社保资金缴纳证明材料；依法不需要缴纳社会保障资金的供应商应提供相关有效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供应商需在项目电子化交易系统中按要求填写《无重大违法记录声明》完成承诺，并进行电子签章；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供应商需在项目电子化交易系统中按要求填写《具有履行合同所必需的设备和专业技术能力的承诺书》完成承诺，并进行电子签章；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响应文件应按照竞争性磋商文件要求签署、盖章。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报价是否超过竞争性磋商文件中规定的预算金额或者最高限价</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响应文件封面 标的清单 响应函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响应文件不存在法律、法规和竞争性磋商文件规定的其他无效情形。</w:t>
            </w:r>
          </w:p>
        </w:tc>
        <w:tc>
          <w:tcPr>
            <w:tcW w:type="dxa" w:w="1661"/>
          </w:tcPr>
          <w:p>
            <w:pPr>
              <w:pStyle w:val="null3"/>
            </w:pPr>
            <w:r>
              <w:rPr>
                <w:rFonts w:ascii="仿宋_GB2312" w:hAnsi="仿宋_GB2312" w:cs="仿宋_GB2312" w:eastAsia="仿宋_GB2312"/>
              </w:rPr>
              <w:t>响应文件封面 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响应文件是否响应“陕西省政府采购供货商拒绝政府采购领域商业贿赂承诺书、参加政府采购活动行为自律承诺书（一）、参加政府采购活动行为自律承诺书（二）</w:t>
            </w:r>
          </w:p>
        </w:tc>
        <w:tc>
          <w:tcPr>
            <w:tcW w:type="dxa" w:w="3322"/>
          </w:tcPr>
          <w:p>
            <w:pPr>
              <w:pStyle w:val="null3"/>
            </w:pPr>
            <w:r>
              <w:rPr>
                <w:rFonts w:ascii="仿宋_GB2312" w:hAnsi="仿宋_GB2312" w:cs="仿宋_GB2312" w:eastAsia="仿宋_GB2312"/>
              </w:rPr>
              <w:t>响应文件响应“陕西省政府采购供货商拒绝政府采购领域商业贿赂承诺书、参加政府采购活动行为自律承诺书（一）、参加政府采购活动行为自律承诺书（二）</w:t>
            </w:r>
          </w:p>
        </w:tc>
        <w:tc>
          <w:tcPr>
            <w:tcW w:type="dxa" w:w="1661"/>
          </w:tcPr>
          <w:p>
            <w:pPr>
              <w:pStyle w:val="null3"/>
            </w:pPr>
            <w:r>
              <w:rPr>
                <w:rFonts w:ascii="仿宋_GB2312" w:hAnsi="仿宋_GB2312" w:cs="仿宋_GB2312" w:eastAsia="仿宋_GB2312"/>
              </w:rPr>
              <w:t>响应文件封面 参加政府采购承诺书.docx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磋商会议的，应出具法定代表人证明书以及法定代表人合法有效的身份证，且应与营业执照上信息一致。法定代表人授权合法授权代表参加磋商会议的，应出具法定代表人证明书、法定代表人授权书及授权代表合法有效的身份证,同时提供截至响应文件递交截止时间前近3个月的社保缴纳证明材料。</w:t>
            </w:r>
          </w:p>
        </w:tc>
        <w:tc>
          <w:tcPr>
            <w:tcW w:type="dxa" w:w="1661"/>
          </w:tcPr>
          <w:p>
            <w:pPr>
              <w:pStyle w:val="null3"/>
            </w:pPr>
            <w:r>
              <w:rPr>
                <w:rFonts w:ascii="仿宋_GB2312" w:hAnsi="仿宋_GB2312" w:cs="仿宋_GB2312" w:eastAsia="仿宋_GB2312"/>
              </w:rPr>
              <w:t>响应文件封面 法定代表人证明书及授权书.docx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供应商是否为本项目医院职工投资开办或控股企业、是否为本项目医院职工本人或其亲属担任高管、独立董事等具有重大利益关系职务</w:t>
            </w:r>
          </w:p>
        </w:tc>
        <w:tc>
          <w:tcPr>
            <w:tcW w:type="dxa" w:w="3322"/>
          </w:tcPr>
          <w:p>
            <w:pPr>
              <w:pStyle w:val="null3"/>
            </w:pPr>
            <w:r>
              <w:rPr>
                <w:rFonts w:ascii="仿宋_GB2312" w:hAnsi="仿宋_GB2312" w:cs="仿宋_GB2312" w:eastAsia="仿宋_GB2312"/>
              </w:rPr>
              <w:t>供应商不是西安市第五医院职工投资开办或控股企业；西安市第五医院职工本人或其亲属未在公司担任高管、独立董事等具有重大利益关系职务。</w:t>
            </w:r>
          </w:p>
        </w:tc>
        <w:tc>
          <w:tcPr>
            <w:tcW w:type="dxa" w:w="1661"/>
          </w:tcPr>
          <w:p>
            <w:pPr>
              <w:pStyle w:val="null3"/>
            </w:pPr>
            <w:r>
              <w:rPr>
                <w:rFonts w:ascii="仿宋_GB2312" w:hAnsi="仿宋_GB2312" w:cs="仿宋_GB2312" w:eastAsia="仿宋_GB2312"/>
              </w:rPr>
              <w:t>响应文件封面 利益关系承诺函.docx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供应商必须满足采购文件的商务要求。</w:t>
            </w:r>
          </w:p>
        </w:tc>
        <w:tc>
          <w:tcPr>
            <w:tcW w:type="dxa" w:w="1661"/>
          </w:tcPr>
          <w:p>
            <w:pPr>
              <w:pStyle w:val="null3"/>
            </w:pPr>
            <w:r>
              <w:rPr>
                <w:rFonts w:ascii="仿宋_GB2312" w:hAnsi="仿宋_GB2312" w:cs="仿宋_GB2312" w:eastAsia="仿宋_GB2312"/>
              </w:rPr>
              <w:t>响应文件封面 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服务内容及要求响应情况</w:t>
            </w:r>
          </w:p>
        </w:tc>
        <w:tc>
          <w:tcPr>
            <w:tcW w:type="dxa" w:w="2492"/>
          </w:tcPr>
          <w:p>
            <w:pPr>
              <w:pStyle w:val="null3"/>
            </w:pPr>
            <w:r>
              <w:rPr>
                <w:rFonts w:ascii="仿宋_GB2312" w:hAnsi="仿宋_GB2312" w:cs="仿宋_GB2312" w:eastAsia="仿宋_GB2312"/>
              </w:rPr>
              <w:t>供应商根据第三章“磋商项目技术、服务、商务及其他要求 3.2.2服务要求”中服务内容、技术要求、服务要求三大项中参数响应情况评审： 1.完全满足服务要求的，得20分；有一项未响应或不满足采购需求的扣0.5分，扣完为止。 注：相应的各服务要求均需提供佐证材料。佐证材料为供应商认为可以佐证参数响应性的材料。供应商对材料的真实性、完整性、有效性及针对性承担责任，自行承担因材料提供不全导致服务要求被认定为不满足或负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服务响应偏离表.docx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整体服务的思路及要点</w:t>
            </w:r>
          </w:p>
        </w:tc>
        <w:tc>
          <w:tcPr>
            <w:tcW w:type="dxa" w:w="2492"/>
          </w:tcPr>
          <w:p>
            <w:pPr>
              <w:pStyle w:val="null3"/>
            </w:pPr>
            <w:r>
              <w:rPr>
                <w:rFonts w:ascii="仿宋_GB2312" w:hAnsi="仿宋_GB2312" w:cs="仿宋_GB2312" w:eastAsia="仿宋_GB2312"/>
              </w:rPr>
              <w:t>供应商提供的整体服务的思路及要点需包含①核心需求把握度；②重难点深度分析；③需求适配针对性，共3项内容，每项满分3分，总分9分。 其中，每项以具体内容与本项目及所投产品的针对性、可行性、方案完善性作为采分点；每个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服务质量的保障措施</w:t>
            </w:r>
          </w:p>
        </w:tc>
        <w:tc>
          <w:tcPr>
            <w:tcW w:type="dxa" w:w="2492"/>
          </w:tcPr>
          <w:p>
            <w:pPr>
              <w:pStyle w:val="null3"/>
            </w:pPr>
            <w:r>
              <w:rPr>
                <w:rFonts w:ascii="仿宋_GB2312" w:hAnsi="仿宋_GB2312" w:cs="仿宋_GB2312" w:eastAsia="仿宋_GB2312"/>
              </w:rPr>
              <w:t>供应商提供的服务质量保障措施方案需包含①核心环节质量管控措施；②工作配合机制；③完善的调度安排体系，共3项内容，每项满分3分，总分9分。 其中，每项以具体内容与本项目及所投产品的针对性、可行性、方案完善性作为采分点；每个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服务开展的组织措施及制度</w:t>
            </w:r>
          </w:p>
        </w:tc>
        <w:tc>
          <w:tcPr>
            <w:tcW w:type="dxa" w:w="2492"/>
          </w:tcPr>
          <w:p>
            <w:pPr>
              <w:pStyle w:val="null3"/>
            </w:pPr>
            <w:r>
              <w:rPr>
                <w:rFonts w:ascii="仿宋_GB2312" w:hAnsi="仿宋_GB2312" w:cs="仿宋_GB2312" w:eastAsia="仿宋_GB2312"/>
              </w:rPr>
              <w:t>供应商提供的服务开展的组织措施及制度方案需包含①组织机构方案；②有关管理制度；③应急保障能力，共3项内容，每项满分3分，总分9分。 其中，每项以具体内容与本项目及所投产品的针对性、可行性、方案完善性作为采分点；每个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服务开展的流程及规范</w:t>
            </w:r>
          </w:p>
        </w:tc>
        <w:tc>
          <w:tcPr>
            <w:tcW w:type="dxa" w:w="2492"/>
          </w:tcPr>
          <w:p>
            <w:pPr>
              <w:pStyle w:val="null3"/>
            </w:pPr>
            <w:r>
              <w:rPr>
                <w:rFonts w:ascii="仿宋_GB2312" w:hAnsi="仿宋_GB2312" w:cs="仿宋_GB2312" w:eastAsia="仿宋_GB2312"/>
              </w:rPr>
              <w:t>供应商提供的服务开展的流程及规范方案需包含①服务流程及实施；②各环节衔接保障措施；③内外部沟通机制，共3项内容，每项满分3分，总分9分。 其中，每项以具体内容与本项目及所投产品的针对性、可行性、方案完善性作为采分点；每个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项目配套服务设备</w:t>
            </w:r>
          </w:p>
        </w:tc>
        <w:tc>
          <w:tcPr>
            <w:tcW w:type="dxa" w:w="2492"/>
          </w:tcPr>
          <w:p>
            <w:pPr>
              <w:pStyle w:val="null3"/>
            </w:pPr>
            <w:r>
              <w:rPr>
                <w:rFonts w:ascii="仿宋_GB2312" w:hAnsi="仿宋_GB2312" w:cs="仿宋_GB2312" w:eastAsia="仿宋_GB2312"/>
              </w:rPr>
              <w:t>供应商提供的项目配套服务设备需包含①项目配套服务设备配置情况表；②项目配套服务设备的性能及运行状态；③项目配套服务设备的运维及备用方案，共3项内容，每项满分3分，总分9分。 其中，每项以具体内容与本项目及所投产品的针对性、可行性、方案完善性作为采分点；每个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供应商提2023年1月1日至今以来的类似项目业绩证明材料（以合同签订时间为准），需提供完整的合同复印件或扫描件并加盖公章。每提供一份得1分，最高得5分。 注：供应商应在响应文件中提供完整业绩合同复印件或扫描件。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详见附件：参加政府采购承诺书.docx</w:t>
      </w:r>
    </w:p>
    <w:p>
      <w:pPr>
        <w:pStyle w:val="null3"/>
        <w:ind w:firstLine="960"/>
      </w:pPr>
      <w:r>
        <w:rPr>
          <w:rFonts w:ascii="仿宋_GB2312" w:hAnsi="仿宋_GB2312" w:cs="仿宋_GB2312" w:eastAsia="仿宋_GB2312"/>
        </w:rPr>
        <w:t>详见附件：法定代表人证明书及授权书.docx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详见附件：利益关系承诺函.docx</w:t>
      </w:r>
    </w:p>
    <w:p>
      <w:pPr>
        <w:pStyle w:val="null3"/>
        <w:ind w:firstLine="960"/>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