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版本号：OTXA-252003137720260113001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信息系统运维服务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OTXA-2520031377</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信息系统运维服务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OTXA-2520031377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信息系统运维服务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西安市第五医院院信息化建设基础设施建设完备。2020年，完成了以电子病历为核心的新一代信息系统建设。经过近几年的不断完善后续又新建了公立医院绩效考核上报系统、移动护理、前置审方、电子发票、日间手术、预住院、传染病上报、特药电子处方流转等，目前我院处于服务期的主要产品有18大系统，共计67个子系统。随着信息化系统的、故障处理，我院需专业的系统运维公司协助信息科做好信息系统的运维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法定代表人委托授权书：（投标人为法人单位的）法定代表人亲自参加投标时，须提供法人证明书及本人身份证复印件；法定代表人授权他人参加投标时，须提供法定代表人委托授权书，同时提供被授权代表开标前连续三个月在本单位的社保缴纳证明材料。（投标人为非法人单位的）投标文件中凡是需要法定代表人签字或盖章之处，非法人单位的负责人均参照执行。</w:t>
      </w:r>
    </w:p>
    <w:p>
      <w:pPr>
        <w:pStyle w:val="null3"/>
      </w:pPr>
      <w:r>
        <w:rPr>
          <w:rFonts w:ascii="仿宋_GB2312" w:hAnsi="仿宋_GB2312" w:cs="仿宋_GB2312" w:eastAsia="仿宋_GB2312"/>
        </w:rPr>
        <w:t>3、具有良好的商业信誉和健全的财务会计制度（任选其一）：1、提供提供2024年度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3财政部门认可的政府采购专业担保机构出具的投标担保函（以上三种形式的资料提供任何一种即可）；</w:t>
      </w:r>
    </w:p>
    <w:p>
      <w:pPr>
        <w:pStyle w:val="null3"/>
      </w:pPr>
      <w:r>
        <w:rPr>
          <w:rFonts w:ascii="仿宋_GB2312" w:hAnsi="仿宋_GB2312" w:cs="仿宋_GB2312" w:eastAsia="仿宋_GB2312"/>
        </w:rPr>
        <w:t>4、有依法缴纳税收和社会保障资金的良好记录：4.1、社会保障资金缴纳证明：自2024年12月1日以来已缴存的至少连续三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4.2、税收缴纳证明：自2024年12月1日以来已缴纳的至少连续三个月的纳税证明或完税证明，纳税证明或完税证明上应有代收机构或税务机关的公章或业务专用章。依法免税的投标人应提供相关文件证明。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6、供应商的信用信息：6.1查询渠道：“信用中国”网站（www.creditchina.gov.vn）、中国政府采购网（www.ccgp.gov.vn）；以现场查询为准。 6.2截止时点：投标截止时间；6.3信用信息查询记录和证据留存的具体方式：网上查询 结果打印。 6.4信用信息的使用规则：凡在截止时点内，列入失信被执 行人、重大税收违法案件当事人名单、政府采购严重违法 失信行为记录名单的供应商，其投标视为无效投标；联合 体投标时，联合体成员存在不良信用记录的，视同联合体 存在不良信用记录，其投标视为无效投标。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西安市第五医院经办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西安市太白南路181号西部电子社区A座A区208-1室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孙翊轩、陈一凡、方丽娜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代理服务费收费标准：代理服务费的金额参照国家发展计划委员会计价格[2002]1980号文件的规定标准下浮20%计算，成交金额50万（不含）以下的项目不下浮。</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满足采购文件及本项目相关行业要求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w:t>
      </w:r>
    </w:p>
    <w:p>
      <w:pPr>
        <w:pStyle w:val="null3"/>
      </w:pPr>
      <w:r>
        <w:rPr>
          <w:rFonts w:ascii="仿宋_GB2312" w:hAnsi="仿宋_GB2312" w:cs="仿宋_GB2312" w:eastAsia="仿宋_GB2312"/>
        </w:rPr>
        <w:t>联系电话：029-89585662-807 邮箱：3@otxa.com.cn</w:t>
      </w:r>
    </w:p>
    <w:p>
      <w:pPr>
        <w:pStyle w:val="null3"/>
      </w:pPr>
      <w:r>
        <w:rPr>
          <w:rFonts w:ascii="仿宋_GB2312" w:hAnsi="仿宋_GB2312" w:cs="仿宋_GB2312" w:eastAsia="仿宋_GB2312"/>
        </w:rPr>
        <w:t>地址：西安市太白南路181号西部电子社区A座A区208-1室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院信息化建设基础设施建设完备。2020年，完成了以电子病历为核心的新一代信息系统建设。经过近几年的不断完善后续又新建了公立医院绩效考核上报系统、移动护理、前置审方、电子发票、日间手术、预住院、传染病上报、特药电子处方流转等，目前我院处于服务期的主要产品有18大系统，共计67个子系统。随着信息化系统的、故障处理，我院需专业的系统运维公司协助信息科做好信息系统的运维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333333"/>
              </w:rPr>
              <w:t>一、服务内容</w:t>
            </w:r>
          </w:p>
          <w:p>
            <w:pPr>
              <w:pStyle w:val="null3"/>
              <w:ind w:firstLine="400"/>
              <w:jc w:val="both"/>
            </w:pPr>
            <w:r>
              <w:rPr>
                <w:rFonts w:ascii="仿宋_GB2312" w:hAnsi="仿宋_GB2312" w:cs="仿宋_GB2312" w:eastAsia="仿宋_GB2312"/>
                <w:sz w:val="20"/>
              </w:rPr>
              <w:t>服务期内为医院提供现有</w:t>
            </w:r>
            <w:r>
              <w:rPr>
                <w:rFonts w:ascii="仿宋_GB2312" w:hAnsi="仿宋_GB2312" w:cs="仿宋_GB2312" w:eastAsia="仿宋_GB2312"/>
                <w:sz w:val="20"/>
              </w:rPr>
              <w:t>HIS系统维护支持服务，保障医院HIS系统的稳定运行。服务内容包括客户端安装、配置、系统运行监控、补丁收集及维护、故障解决、系统优化、应急处理、服务器应用巡检、数据库性能的维护等。</w:t>
            </w:r>
          </w:p>
          <w:p>
            <w:pPr>
              <w:pStyle w:val="null3"/>
              <w:ind w:firstLine="400"/>
              <w:jc w:val="both"/>
            </w:pPr>
            <w:r>
              <w:rPr>
                <w:rFonts w:ascii="仿宋_GB2312" w:hAnsi="仿宋_GB2312" w:cs="仿宋_GB2312" w:eastAsia="仿宋_GB2312"/>
                <w:sz w:val="20"/>
              </w:rPr>
              <w:t>1.日常维护：包含改正性维护和完善性维护等。改正性维护即弥补系统本身漏洞和修复其不完善的地方，如在定期的检测、运行HIS的过程中发现由于系统使用过程中而出现的报错、异常数据处理、在用统计报表不准确等问题。完善性维护即在软件使用过程中，为满足用户提出的多种需求，如增加某些功能或修改已有的功能和新增统计报表等进行的维护。</w:t>
            </w:r>
          </w:p>
          <w:p>
            <w:pPr>
              <w:pStyle w:val="null3"/>
              <w:ind w:firstLine="400"/>
              <w:jc w:val="both"/>
            </w:pPr>
            <w:r>
              <w:rPr>
                <w:rFonts w:ascii="仿宋_GB2312" w:hAnsi="仿宋_GB2312" w:cs="仿宋_GB2312" w:eastAsia="仿宋_GB2312"/>
                <w:sz w:val="20"/>
              </w:rPr>
              <w:t>2.软件升级：服务方在现有HIS系统服务基础上，在功能模块允许范围内，服务方根据医院的合理要求进行软件修改，并提供软件升级程序及补丁下载服务等。</w:t>
            </w:r>
          </w:p>
          <w:p>
            <w:pPr>
              <w:pStyle w:val="null3"/>
              <w:ind w:firstLine="400"/>
              <w:jc w:val="both"/>
            </w:pPr>
            <w:r>
              <w:rPr>
                <w:rFonts w:ascii="仿宋_GB2312" w:hAnsi="仿宋_GB2312" w:cs="仿宋_GB2312" w:eastAsia="仿宋_GB2312"/>
                <w:sz w:val="20"/>
              </w:rPr>
              <w:t>3.报表要求：根据医院管理及业务的需求，新增报表的编制，每年提供不少于20个新增报表需求,并提供对已有报表格式、内容进行修改。</w:t>
            </w:r>
          </w:p>
          <w:p>
            <w:pPr>
              <w:pStyle w:val="null3"/>
              <w:ind w:firstLine="400"/>
              <w:jc w:val="both"/>
            </w:pPr>
            <w:r>
              <w:rPr>
                <w:rFonts w:ascii="仿宋_GB2312" w:hAnsi="仿宋_GB2312" w:cs="仿宋_GB2312" w:eastAsia="仿宋_GB2312"/>
                <w:sz w:val="20"/>
              </w:rPr>
              <w:t>4.系统改造：提供院方HIS系统流程变更咨询，业务调整的可行性改造方案。</w:t>
            </w:r>
          </w:p>
          <w:p>
            <w:pPr>
              <w:pStyle w:val="null3"/>
              <w:ind w:firstLine="400"/>
              <w:jc w:val="both"/>
            </w:pPr>
            <w:r>
              <w:rPr>
                <w:rFonts w:ascii="仿宋_GB2312" w:hAnsi="仿宋_GB2312" w:cs="仿宋_GB2312" w:eastAsia="仿宋_GB2312"/>
                <w:sz w:val="20"/>
                <w:b/>
              </w:rPr>
              <w:t>二、服务范围：</w:t>
            </w:r>
          </w:p>
          <w:tbl>
            <w:tblPr>
              <w:tblBorders>
                <w:top w:val="none" w:color="000000" w:sz="4"/>
                <w:left w:val="none" w:color="000000" w:sz="4"/>
                <w:bottom w:val="none" w:color="000000" w:sz="4"/>
                <w:right w:val="none" w:color="000000" w:sz="4"/>
                <w:insideH w:val="none"/>
                <w:insideV w:val="none"/>
              </w:tblBorders>
            </w:tblPr>
            <w:tblGrid>
              <w:gridCol w:w="334"/>
              <w:gridCol w:w="795"/>
              <w:gridCol w:w="1418"/>
            </w:tblGrid>
            <w:tr>
              <w:tc>
                <w:tcPr>
                  <w:tcW w:type="dxa" w:w="3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系统</w:t>
                  </w:r>
                </w:p>
              </w:tc>
              <w:tc>
                <w:tcPr>
                  <w:tcW w:type="dxa" w:w="14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子系统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医院信息管理系统</w:t>
                  </w:r>
                </w:p>
                <w:p>
                  <w:pPr>
                    <w:pStyle w:val="null3"/>
                    <w:ind w:firstLine="400"/>
                    <w:jc w:val="center"/>
                  </w:pPr>
                  <w:r>
                    <w:rPr>
                      <w:rFonts w:ascii="仿宋_GB2312" w:hAnsi="仿宋_GB2312" w:cs="仿宋_GB2312" w:eastAsia="仿宋_GB2312"/>
                      <w:sz w:val="20"/>
                    </w:rPr>
                    <w:t>（</w:t>
                  </w:r>
                  <w:r>
                    <w:rPr>
                      <w:rFonts w:ascii="仿宋_GB2312" w:hAnsi="仿宋_GB2312" w:cs="仿宋_GB2312" w:eastAsia="仿宋_GB2312"/>
                      <w:sz w:val="20"/>
                    </w:rPr>
                    <w:t>HIS）</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门急诊挂号系统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门、急诊管理系统（分诊、导诊）</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门急诊收费系统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门诊中西药房管理系统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预约系统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导诊查询系统（病人查询）</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病人入出转管理系统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住院费用管理系统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住院药房管理系统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医技管理系统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药库管理与药品会计系统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院长综合查询与统计报表</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系统管理工具</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报表查询系统（自定义）</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临床信息系统（</w:t>
                  </w:r>
                  <w:r>
                    <w:rPr>
                      <w:rFonts w:ascii="仿宋_GB2312" w:hAnsi="仿宋_GB2312" w:cs="仿宋_GB2312" w:eastAsia="仿宋_GB2312"/>
                      <w:sz w:val="20"/>
                    </w:rPr>
                    <w:t>CIS)</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门诊医生工作站</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门诊护士工作站</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住院医生工作站</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住院护士工作站</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门诊输液系统</w:t>
                  </w:r>
                  <w:r>
                    <w:rPr>
                      <w:rFonts w:ascii="仿宋_GB2312" w:hAnsi="仿宋_GB2312" w:cs="仿宋_GB2312" w:eastAsia="仿宋_GB2312"/>
                      <w:sz w:val="20"/>
                    </w:rPr>
                    <w:t>(皮试)</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出院患者回访系统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临床路径系统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手术及麻醉管理系统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医院感染管理控制系统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传染病管理系统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慢性病管理系统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电子病历系统（</w:t>
                  </w:r>
                  <w:r>
                    <w:rPr>
                      <w:rFonts w:ascii="仿宋_GB2312" w:hAnsi="仿宋_GB2312" w:cs="仿宋_GB2312" w:eastAsia="仿宋_GB2312"/>
                      <w:sz w:val="20"/>
                    </w:rPr>
                    <w:t>EMR）</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住院电子病历系统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护理电子病历系统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门诊电子病历</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电子病历编辑器</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病案系统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病案管理系统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病案上报系统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病历质控与评分系统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合理用药系统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合理用药监测系统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抗菌药物管理系统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处方点评系统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外部接口系统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陕西省、西安市医保接口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陕西省远程医疗平台</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医保基金审核及监管系统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陕西省居民健康卡接口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泛微</w:t>
                  </w:r>
                  <w:r>
                    <w:rPr>
                      <w:rFonts w:ascii="仿宋_GB2312" w:hAnsi="仿宋_GB2312" w:cs="仿宋_GB2312" w:eastAsia="仿宋_GB2312"/>
                      <w:sz w:val="20"/>
                    </w:rPr>
                    <w:t>OA接口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廉洁风险防控系统接口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西安市预约挂号系统接口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西安市城市一账通系统接口（一、二期）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全省药品网上采购系统接口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财务软件接口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物资管理系统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体检软件及需要接入的其他接口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LIS接口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PACS接口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省</w:t>
                  </w:r>
                  <w:r>
                    <w:rPr>
                      <w:rFonts w:ascii="仿宋_GB2312" w:hAnsi="仿宋_GB2312" w:cs="仿宋_GB2312" w:eastAsia="仿宋_GB2312"/>
                      <w:sz w:val="20"/>
                    </w:rPr>
                    <w:t>/市区域平台接口等</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二维码支付（微信支付宝）接口，银联支付、门诊分诊叫号、</w:t>
                  </w:r>
                  <w:r>
                    <w:rPr>
                      <w:rFonts w:ascii="仿宋_GB2312" w:hAnsi="仿宋_GB2312" w:cs="仿宋_GB2312" w:eastAsia="仿宋_GB2312"/>
                      <w:sz w:val="20"/>
                    </w:rPr>
                    <w:t>CA认证等医院正在使用的接口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公众号或</w:t>
                  </w:r>
                  <w:r>
                    <w:rPr>
                      <w:rFonts w:ascii="仿宋_GB2312" w:hAnsi="仿宋_GB2312" w:cs="仿宋_GB2312" w:eastAsia="仿宋_GB2312"/>
                      <w:sz w:val="20"/>
                    </w:rPr>
                    <w:t>App</w:t>
                  </w:r>
                </w:p>
                <w:p>
                  <w:pPr>
                    <w:pStyle w:val="null3"/>
                    <w:ind w:firstLine="400"/>
                    <w:jc w:val="center"/>
                  </w:pPr>
                  <w:r>
                    <w:rPr>
                      <w:rFonts w:ascii="仿宋_GB2312" w:hAnsi="仿宋_GB2312" w:cs="仿宋_GB2312" w:eastAsia="仿宋_GB2312"/>
                      <w:sz w:val="20"/>
                    </w:rPr>
                    <w:t>（掌上医院）</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门诊服务</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住院服务</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综合服务</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查询服务</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集成平台基础建设</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企业服务总线</w:t>
                  </w:r>
                  <w:r>
                    <w:rPr>
                      <w:rFonts w:ascii="仿宋_GB2312" w:hAnsi="仿宋_GB2312" w:cs="仿宋_GB2312" w:eastAsia="仿宋_GB2312"/>
                      <w:sz w:val="20"/>
                    </w:rPr>
                    <w:t>(ESB)</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病人主索引</w:t>
                  </w:r>
                  <w:r>
                    <w:rPr>
                      <w:rFonts w:ascii="仿宋_GB2312" w:hAnsi="仿宋_GB2312" w:cs="仿宋_GB2312" w:eastAsia="仿宋_GB2312"/>
                      <w:sz w:val="20"/>
                    </w:rPr>
                    <w:t>(EMPI)</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配套系统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数据库及部署</w:t>
                  </w:r>
                  <w:r>
                    <w:rPr>
                      <w:rFonts w:ascii="仿宋_GB2312" w:hAnsi="仿宋_GB2312" w:cs="仿宋_GB2312" w:eastAsia="仿宋_GB2312"/>
                      <w:sz w:val="20"/>
                    </w:rPr>
                    <w:t>SQL2019企业版</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7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前置审方系统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前置审方全院版</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795"/>
                  <w:vMerge/>
                  <w:tcBorders>
                    <w:top w:val="none" w:color="000000" w:sz="4"/>
                    <w:left w:val="single" w:color="000000" w:sz="4"/>
                    <w:bottom w:val="single" w:color="000000" w:sz="4"/>
                    <w:right w:val="single" w:color="000000" w:sz="4"/>
                  </w:tcBorders>
                </w:tcP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患者用药教育</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公立医院绩效考核平台</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公立医院绩效考核上报系统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两定医保接口</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两定医保接口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特药电子处方流转系统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特药电子处方流转系统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日间手术系统、预住院管理系统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日间手术系统、预住院管理系统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传染病智能监测预警前置软件接口</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传染病智能监测预警前置软件接口</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单点登录系统</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单点登录系统</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和宇医院</w:t>
                  </w:r>
                  <w:r>
                    <w:rPr>
                      <w:rFonts w:ascii="仿宋_GB2312" w:hAnsi="仿宋_GB2312" w:cs="仿宋_GB2312" w:eastAsia="仿宋_GB2312"/>
                      <w:sz w:val="20"/>
                    </w:rPr>
                    <w:t>DRG/DIP管理平台接口</w:t>
                  </w:r>
                </w:p>
              </w:tc>
              <w:tc>
                <w:tcPr>
                  <w:tcW w:type="dxa" w:w="1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和宇医院</w:t>
                  </w:r>
                  <w:r>
                    <w:rPr>
                      <w:rFonts w:ascii="仿宋_GB2312" w:hAnsi="仿宋_GB2312" w:cs="仿宋_GB2312" w:eastAsia="仿宋_GB2312"/>
                      <w:sz w:val="20"/>
                    </w:rPr>
                    <w:t>DRG/DIP管理平台接口</w:t>
                  </w:r>
                </w:p>
              </w:tc>
            </w:tr>
          </w:tbl>
          <w:p>
            <w:pPr>
              <w:pStyle w:val="null3"/>
              <w:jc w:val="left"/>
            </w:pPr>
            <w:r>
              <w:rPr>
                <w:rFonts w:ascii="仿宋_GB2312" w:hAnsi="仿宋_GB2312" w:cs="仿宋_GB2312" w:eastAsia="仿宋_GB2312"/>
                <w:sz w:val="24"/>
                <w:b/>
                <w:color w:val="333333"/>
              </w:rPr>
              <w:t>三、服务要求（如对人员配置、服务标准等）</w:t>
            </w:r>
          </w:p>
          <w:p>
            <w:pPr>
              <w:pStyle w:val="null3"/>
              <w:ind w:firstLine="400"/>
              <w:jc w:val="both"/>
            </w:pPr>
            <w:r>
              <w:rPr>
                <w:rFonts w:ascii="仿宋_GB2312" w:hAnsi="仿宋_GB2312" w:cs="仿宋_GB2312" w:eastAsia="仿宋_GB2312"/>
                <w:sz w:val="20"/>
              </w:rPr>
              <w:t>（一）服务期内：</w:t>
            </w:r>
          </w:p>
          <w:p>
            <w:pPr>
              <w:pStyle w:val="null3"/>
              <w:ind w:firstLine="400"/>
              <w:jc w:val="both"/>
            </w:pPr>
            <w:r>
              <w:rPr>
                <w:rFonts w:ascii="仿宋_GB2312" w:hAnsi="仿宋_GB2312" w:cs="仿宋_GB2312" w:eastAsia="仿宋_GB2312"/>
                <w:sz w:val="20"/>
              </w:rPr>
              <w:t>保障医院信息化建设与应用高效进行，由专业团队提供专业的技术服务与支持，提供清晰明确服务内容与规范的服务体系。</w:t>
            </w:r>
          </w:p>
          <w:p>
            <w:pPr>
              <w:pStyle w:val="null3"/>
              <w:ind w:firstLine="400"/>
              <w:jc w:val="both"/>
            </w:pPr>
            <w:r>
              <w:rPr>
                <w:rFonts w:ascii="仿宋_GB2312" w:hAnsi="仿宋_GB2312" w:cs="仿宋_GB2312" w:eastAsia="仿宋_GB2312"/>
                <w:sz w:val="20"/>
              </w:rPr>
              <w:t>1.现场支持服务：要求服务商提供不少于1名驻院工程师具备中级及以上证书，现场提供服务。并根据院方要求认真完成服务工作。如服务过程中涉及医院数据管理相关的操作，必须经院方管理人员授权后，予以操作，完成后在工作记录单上签字确认。如服务商需更换人员，需提前告知采购人并取得同意；若遇到驻院人员无法解决的疑难问题，服务商需提供更高级别的人员到场予以处理。</w:t>
            </w:r>
          </w:p>
          <w:p>
            <w:pPr>
              <w:pStyle w:val="null3"/>
              <w:ind w:firstLine="400"/>
              <w:jc w:val="both"/>
            </w:pPr>
            <w:r>
              <w:rPr>
                <w:rFonts w:ascii="仿宋_GB2312" w:hAnsi="仿宋_GB2312" w:cs="仿宋_GB2312" w:eastAsia="仿宋_GB2312"/>
                <w:sz w:val="20"/>
              </w:rPr>
              <w:t>2.现场巡检服务：要求服务商提供每月一次的现场巡检服务，检查的内容包括服务器运行状态检查、数据完整性检查等，并及时提供巡检报告。</w:t>
            </w:r>
          </w:p>
          <w:p>
            <w:pPr>
              <w:pStyle w:val="null3"/>
              <w:ind w:firstLine="400"/>
              <w:jc w:val="both"/>
            </w:pPr>
            <w:r>
              <w:rPr>
                <w:rFonts w:ascii="仿宋_GB2312" w:hAnsi="仿宋_GB2312" w:cs="仿宋_GB2312" w:eastAsia="仿宋_GB2312"/>
                <w:sz w:val="20"/>
              </w:rPr>
              <w:t>3.软件补丁服务：服务商在维护及软件巡检过程中发现软件存在故障隐患时，经用院方同意后，服务商提供并安装所必须的软件补丁程序，且要保证提供的软件补丁的合法性。如果任何第三方向院方提起侵权索赔,服务商应负责与之进行交涉,并承担由此引起的一切责任。</w:t>
            </w:r>
          </w:p>
          <w:p>
            <w:pPr>
              <w:pStyle w:val="null3"/>
              <w:ind w:firstLine="400"/>
              <w:jc w:val="both"/>
            </w:pPr>
            <w:r>
              <w:rPr>
                <w:rFonts w:ascii="仿宋_GB2312" w:hAnsi="仿宋_GB2312" w:cs="仿宋_GB2312" w:eastAsia="仿宋_GB2312"/>
                <w:sz w:val="20"/>
              </w:rPr>
              <w:t>4.技术资料服务：服务商为用户提供软件正常运行的必要技术资料(涉及技术和商业机密的除外)，其中包括有关产品知识、操作手册、软件运行维护经验、技术文档等资料。常用资料可提供纸质文档或电子文档。</w:t>
            </w:r>
          </w:p>
          <w:p>
            <w:pPr>
              <w:pStyle w:val="null3"/>
              <w:ind w:firstLine="400"/>
              <w:jc w:val="both"/>
            </w:pPr>
            <w:r>
              <w:rPr>
                <w:rFonts w:ascii="仿宋_GB2312" w:hAnsi="仿宋_GB2312" w:cs="仿宋_GB2312" w:eastAsia="仿宋_GB2312"/>
                <w:sz w:val="20"/>
              </w:rPr>
              <w:t>5.培训服务：在服务期内，服务商定期提供汇总、整理近阶段软件故障的问题分析、解决方案等技术资料，提交给院方，并为院方的软件维护人员进行不定期的日常维护培训（包括故障发生的原因、处理过程以及类似故障的预防和处理经验）。</w:t>
            </w:r>
          </w:p>
          <w:p>
            <w:pPr>
              <w:pStyle w:val="null3"/>
              <w:ind w:firstLine="400"/>
              <w:jc w:val="both"/>
            </w:pPr>
            <w:r>
              <w:rPr>
                <w:rFonts w:ascii="仿宋_GB2312" w:hAnsi="仿宋_GB2312" w:cs="仿宋_GB2312" w:eastAsia="仿宋_GB2312"/>
                <w:sz w:val="20"/>
              </w:rPr>
              <w:t>6.辅助故障定位服务：当故障涉及多方软件，院方无法进行准确故障定位情况下，服务商需提供相应技术支持，辅助院方进行准确的故障定位。实现手段包括但不限于：电话技术支持服务，远程支持、现场支持服务。</w:t>
            </w:r>
          </w:p>
          <w:p>
            <w:pPr>
              <w:pStyle w:val="null3"/>
              <w:ind w:firstLine="400"/>
              <w:jc w:val="both"/>
            </w:pPr>
            <w:r>
              <w:rPr>
                <w:rFonts w:ascii="仿宋_GB2312" w:hAnsi="仿宋_GB2312" w:cs="仿宋_GB2312" w:eastAsia="仿宋_GB2312"/>
                <w:sz w:val="20"/>
              </w:rPr>
              <w:t>7.保密规定：服务商不得泄露院方的保密信息，不得做损害院方声誉和有损院方形象的行为。该约定在本合同终止后仍然继续有效，且不受合同解除、终止或无效的影响。</w:t>
            </w:r>
          </w:p>
          <w:p>
            <w:pPr>
              <w:pStyle w:val="null3"/>
              <w:ind w:firstLine="400"/>
              <w:jc w:val="both"/>
            </w:pPr>
            <w:r>
              <w:rPr>
                <w:rFonts w:ascii="仿宋_GB2312" w:hAnsi="仿宋_GB2312" w:cs="仿宋_GB2312" w:eastAsia="仿宋_GB2312"/>
                <w:sz w:val="20"/>
              </w:rPr>
              <w:t>8.为建立医院网络与信息安全运行应急工作机制，检验医院信息安全综合应急预案和业务技术专项应急预案的有效性，保证各项应急指挥调度工作迅速、高效、有序地进行，满足突发情况下网络与信息系统运行保障和故障恢复的需要，确保信息系统安全畅通。</w:t>
            </w:r>
          </w:p>
          <w:p>
            <w:pPr>
              <w:pStyle w:val="null3"/>
              <w:ind w:firstLine="400"/>
              <w:jc w:val="both"/>
            </w:pPr>
            <w:r>
              <w:rPr>
                <w:rFonts w:ascii="仿宋_GB2312" w:hAnsi="仿宋_GB2312" w:cs="仿宋_GB2312" w:eastAsia="仿宋_GB2312"/>
                <w:sz w:val="20"/>
              </w:rPr>
              <w:t>9.乙方不得以公司考核或其他事宜为由，进行人员调整。人员更换需征得甲方同意，并提前一周告知。</w:t>
            </w:r>
          </w:p>
          <w:p>
            <w:pPr>
              <w:pStyle w:val="null3"/>
              <w:ind w:firstLine="400"/>
              <w:jc w:val="both"/>
            </w:pPr>
            <w:r>
              <w:rPr>
                <w:rFonts w:ascii="仿宋_GB2312" w:hAnsi="仿宋_GB2312" w:cs="仿宋_GB2312" w:eastAsia="仿宋_GB2312"/>
                <w:sz w:val="20"/>
              </w:rPr>
              <w:t>10.信息系统服务不得因人为因素全年中断不超过3次，服务器全年宕机不超3次，数据库死锁类不超过5次。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满足履行本项目所必须的能力要求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满足履行本项目所必须的技术要求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西安市第五医院（采购人指定地点）。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满足采购文件及本项目相关行业要求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合同签订且收到发票后10个工作日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在服务期满一年后 10个工作日若无合同约定的质量问题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1、合同签订后，任何一方不得无故终止合同。如乙方单方终止合同，承担违约合同价款 30%的违约责任。 2、 一方无法继续履行合同需终止履行并解除合同的，应及时通知另一方，因合同解除而造成的损失由责任方承担。 3、因乙方原因造成工期延误的，每延误一天，由乙方按合同总价款的 0.5%向甲方支付违约金。同时因乙方延期交货给甲方造成损失的（包括但不限于直接损失、可期待利益等），乙方应承担全部赔偿责任。 4、发生特殊情况，非责任方可暂停合同履行，但应以书面形式告知对方暂停原因。 5、若仅因乙方的原因，乙方在安装、调试的过程中造成甲方、乙方或第三方人员或财产损失的（包括但不限于实际损失、可预期损失、诉讼费及律师费等），乙方应承担全部责任。 6、上述违约条款可合并适用，合并使用仍不能弥补甲方损失的，甲方有权向乙方继续追偿。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因政府采购系统设置的局限性，本项目付款方式以下为准： （一）付款方式：合同签订且收到发票后10个工作日，买方支付合同总价的 30 ％ 给乙方；在服务期满一年后 10个工作日若无合同约定的质量问题，买方无息支付给乙方剩余款项即合同总价的 70％。 （二）支付方式：银行转账 通过银行转账方式将款项转入乙方银行账户。乙方银行账户信息如下： 账户全称： 账 号： 开 户 行： 甲方仅认可上述指定账户并向该账户付款，甲方有权拒绝向指定账户之外的任何账户付款，并且由此导致的付款延迟责任由乙方承担。 乙方要如实开具发票，不得变更开票内容，乙方开具发票出现税务争议时，乙方需承担税款、滞纳金、罚款等赔偿责任以及其他相关责任。 （三）结算方式：乙方持中标通知书、服务合同、正式发票、运维服务签收单，与甲方进行结算。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2024年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3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投标人为法人单位的）法定代表人亲自参加投标时，须提供法人证明书及本人身份证复印件；法定代表人授权他人参加投标时，须提供法定代表人委托授权书，同时提供被授权代表开标前连续三个月在本单位的社保缴纳证明材料。（投标人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法人代表授权书.docx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提供2024年度经审计完整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3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4.1、社会保障资金缴纳证明：自2024年12月1日以来已缴存的至少连续三个月的社会保障资金缴存单据或社保机构开具的社会保险参保缴费情况证明，单据或证明上应有社保机构或代收机构的公章或业务专用章。依法不需要缴纳社会保障资金的投标人应提供相关文件证明。 4.2、税收缴纳证明：自2024年12月1日以来已缴纳的至少连续三个月的纳税证明或完税证明，纳税证明或完税证明上应有代收机构或税务机关的公章或业务专用章。依法免税的投标人应提供相关文件证明。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投标人无重大违法记录的书面声明格式.docx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供应商的信用信息</w:t>
            </w:r>
          </w:p>
        </w:tc>
        <w:tc>
          <w:tcPr>
            <w:tcW w:type="dxa" w:w="3322"/>
          </w:tcPr>
          <w:p>
            <w:pPr>
              <w:pStyle w:val="null3"/>
            </w:pPr>
            <w:r>
              <w:rPr>
                <w:rFonts w:ascii="仿宋_GB2312" w:hAnsi="仿宋_GB2312" w:cs="仿宋_GB2312" w:eastAsia="仿宋_GB2312"/>
              </w:rPr>
              <w:t>6.1查询渠道：“信用中国”网站（www.creditchina.gov.vn）、中国政府采购网（www.ccgp.gov.vn）；以现场查询为准。 6.2截止时点：投标截止时间；6.3信用信息查询记录和证据留存的具体方式：网上查询 结果打印。 6.4信用信息的使用规则：凡在截止时点内，列入失信被执 行人、重大税收违法案件当事人名单、政府采购严重违法 失信行为记录名单的供应商，其投标视为无效投标；联合 体投标时，联合体成员存在不良信用记录的，视同联合体 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2.1投标文件的完整性审查。 2.1.1投标文件是否按照招标文件要求的格式编写； 2.1.2投标内容是否有重大缺漏项。 2.2投标文件的有效性审查。 2.2.1投标文件的签署、加盖印章是否合格、有效；提供的各种证明文件、数据、资料是否真实、有效。 2.2.2代理商投标时，是否提交了合格有效的货物来源渠道证明文件。（若有） 2.2.3是否提交了合格有效的本次采购特别要求的服务合格性证明。（若有） 2.3投标文件的响应性审查。 2.3.1投标报价是否超过采购预算； 2.3.2投标报价是否低于成本价，涉嫌不正当竞争；（如果评委会认为某投标报价明显不合理或者低于成本，应当要求其在规定期限内提供书面文件予以解释说明，并提交相关证明材料。） 2.3.3投标有效期是否符合招标文件的要求； 2.3.4投标文件响应内容是否符合国家法律法规，是否实质性响应了招标文件要求的全部条款、条件和规格要求，并且提供了支持文件，没有重大偏离。对于重大偏离，在开标后不得澄清、纠正及补充。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投标人具有履行本合同所必需的设备和专业技术能力的说明及承诺.docx 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提供利益关系承诺函</w:t>
            </w:r>
          </w:p>
        </w:tc>
        <w:tc>
          <w:tcPr>
            <w:tcW w:type="dxa" w:w="3322"/>
          </w:tcPr>
          <w:p>
            <w:pPr>
              <w:pStyle w:val="null3"/>
            </w:pPr>
            <w:r>
              <w:rPr>
                <w:rFonts w:ascii="仿宋_GB2312" w:hAnsi="仿宋_GB2312" w:cs="仿宋_GB2312" w:eastAsia="仿宋_GB2312"/>
              </w:rPr>
              <w:t>供应商非西安市第五医院的职工投资开办或控股企业; 西安市第五医院的职工本人或其亲属未在供应商单位担任高管、独立董事等具有重大利益关系职务。</w:t>
            </w:r>
          </w:p>
        </w:tc>
        <w:tc>
          <w:tcPr>
            <w:tcW w:type="dxa" w:w="1661"/>
          </w:tcPr>
          <w:p>
            <w:pPr>
              <w:pStyle w:val="null3"/>
            </w:pPr>
            <w:r>
              <w:rPr>
                <w:rFonts w:ascii="仿宋_GB2312" w:hAnsi="仿宋_GB2312" w:cs="仿宋_GB2312" w:eastAsia="仿宋_GB2312"/>
              </w:rPr>
              <w:t>利益关系承诺函.docx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提供承诺书</w:t>
            </w:r>
          </w:p>
        </w:tc>
        <w:tc>
          <w:tcPr>
            <w:tcW w:type="dxa" w:w="3322"/>
          </w:tcPr>
          <w:p>
            <w:pPr>
              <w:pStyle w:val="null3"/>
            </w:pPr>
            <w:r>
              <w:rPr>
                <w:rFonts w:ascii="仿宋_GB2312" w:hAnsi="仿宋_GB2312" w:cs="仿宋_GB2312" w:eastAsia="仿宋_GB2312"/>
              </w:rPr>
              <w:t>承诺声明投标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承诺书.docx 西安市政府采购供应商拒绝政府采购领域商业贿赂承诺书.docx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服务响应内容</w:t>
            </w:r>
          </w:p>
        </w:tc>
        <w:tc>
          <w:tcPr>
            <w:tcW w:type="dxa" w:w="2492"/>
          </w:tcPr>
          <w:p>
            <w:pPr>
              <w:pStyle w:val="null3"/>
            </w:pPr>
            <w:r>
              <w:rPr>
                <w:rFonts w:ascii="仿宋_GB2312" w:hAnsi="仿宋_GB2312" w:cs="仿宋_GB2312" w:eastAsia="仿宋_GB2312"/>
              </w:rPr>
              <w:t>依据磋商响应文件所提供的磋商响应服务要求的响应程度，此项得分=满足参数的数量/参数总数量*16，本项最高得16分。 注: 參数项以序号数字(如“1.”“2.”“3.”……)为一项，序号数字(如“1.”“2.”“3.”………)下有更小级序号的，以最小级序号为一项，序号指“1”“1)”等多级序号。</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根据磋商响应文件提供的响应单位拟投入本项目的服务团队信息，内容至少①团队人员清单及简历②人员岗位设置③驻场服务人员④人员管理制度，结合相关技术支撑材料。 上述4方面内容中每有1项分析内容完整、与项目需求吻合、思路清晰、层次细化，有具体详细的闸述且符合项目要求的得3分，最高得12分；每缺少一项内容的扣3分，每有一处需求分析内容存在缺陷或不足的扣2分，扣完为止。 注：须提供驻场服务承诺书（内容至少包括驻场人员基本信息，格式自拟），未提供承诺书本项不得分。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供应商根据项目特点、需求，制定相应的实施方案，包括但不限于①系统稳定性运行方案②定期预防性管理维护方案③项目日常运行；④针对本项目重点难点分析。 上述4方面内容中每有1项分析内容完整、与项目需求吻合、思路清晰、层次细化，有具体详细的闸述且符合项目要求的得3分，最高得12分；每缺少一项内容的扣3分，每有一处需求分析内容存在缺陷或不足的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培训方案及售后服务</w:t>
            </w:r>
          </w:p>
        </w:tc>
        <w:tc>
          <w:tcPr>
            <w:tcW w:type="dxa" w:w="2492"/>
          </w:tcPr>
          <w:p>
            <w:pPr>
              <w:pStyle w:val="null3"/>
            </w:pPr>
            <w:r>
              <w:rPr>
                <w:rFonts w:ascii="仿宋_GB2312" w:hAnsi="仿宋_GB2312" w:cs="仿宋_GB2312" w:eastAsia="仿宋_GB2312"/>
              </w:rPr>
              <w:t>依据磋商响应文件所提供的培训方案内容至少包括①培训服务人员配置；②培训方案和计划③售后服务方案及承诺内容。 上述3个方面内容中每有1项分析内容完整、与项目需求吻合、思路清晰、层次细化，有具体详细的闸述且符合项目要求的得2分，最高得6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质量保证及应急处理方案</w:t>
            </w:r>
          </w:p>
        </w:tc>
        <w:tc>
          <w:tcPr>
            <w:tcW w:type="dxa" w:w="2492"/>
          </w:tcPr>
          <w:p>
            <w:pPr>
              <w:pStyle w:val="null3"/>
            </w:pPr>
            <w:r>
              <w:rPr>
                <w:rFonts w:ascii="仿宋_GB2312" w:hAnsi="仿宋_GB2312" w:cs="仿宋_GB2312" w:eastAsia="仿宋_GB2312"/>
              </w:rPr>
              <w:t>根据磋商响应文件所提供的质量保证方案及应急处理方案，内容至少包括①服务质量保证方案②突发情况应急处理方案。 上述2个方面内容中每有1项分析内容完整、与项目需求吻合、思路清晰、层次细化，有具体详细的闸述且符合项目要求的得3分，最高得6分；每缺少一项内容的扣 3分，每有一处需求分析内容存在缺陷或不足的扣2分，扣完为止。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根据磋商响应文件提供的针对本项目的保密措施，内容至少包括①对本项目制定专项保密制度；②员工保密管理方案等内容。 上述2方面内容中每有1项分析内容完整、与项目需求吻合全面、安排合理、有具体详细的闸述且符合项目要求的得2分，最高得4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根据磋商响应文件提供的能够明确提出医院与本项目相关信息化建设方面的合理化建议，根据其①前瞻性②合理行③可行性等方面进行综合评审、排序。 上述3方面内容中每有1项分析内容完整、与项目需求吻合全面、安排合理、有具体详细的闸述且符合项目要求的得2分，最高得6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以合同签订时间为准）至今类似项目业绩（信息系统运维），需提供证明材料（以合同复印件为准，合同复印件至少含封皮、首页、能反映采购内容页、双方签字盖章页等，每提供1个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最低评审价为评审基准价，得30分。 2.按（评审基准价/评审价×30）的公式计算价格得分。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详见附件：法人代表授权书.docx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详见附件：投标人无重大违法记录的书面声明格式.docx</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详见附件：信息系统运维服务合同.docx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