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版本号：GCCS26--00120260115002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蓝田县乡镇级集中式饮用水水源保护区规范化建设项目(一期)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GCCS26--001</w:t>
      </w:r>
      <w:r>
        <w:br/>
      </w:r>
      <w:r>
        <w:br/>
      </w:r>
      <w:r>
        <w:br/>
      </w:r>
    </w:p>
    <w:p>
      <w:pPr>
        <w:pStyle w:val="null3"/>
        <w:jc w:val="center"/>
        <w:outlineLvl w:val="2"/>
      </w:pPr>
      <w:r>
        <w:rPr>
          <w:rFonts w:ascii="仿宋_GB2312" w:hAnsi="仿宋_GB2312" w:cs="仿宋_GB2312" w:eastAsia="仿宋_GB2312"/>
          <w:sz w:val="28"/>
          <w:b/>
        </w:rPr>
        <w:t>西安市蓝田县生态环境局</w:t>
      </w:r>
    </w:p>
    <w:p>
      <w:pPr>
        <w:pStyle w:val="null3"/>
        <w:jc w:val="center"/>
        <w:outlineLvl w:val="2"/>
      </w:pPr>
      <w:r>
        <w:rPr>
          <w:rFonts w:ascii="仿宋_GB2312" w:hAnsi="仿宋_GB2312" w:cs="仿宋_GB2312" w:eastAsia="仿宋_GB2312"/>
          <w:sz w:val="28"/>
          <w:b/>
        </w:rPr>
        <w:t>陕西国采项目管理有限公司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陕西国采项目管理有限公司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西安市蓝田县生态环境局</w:t>
      </w:r>
      <w:r>
        <w:rPr>
          <w:rFonts w:ascii="仿宋_GB2312" w:hAnsi="仿宋_GB2312" w:cs="仿宋_GB2312" w:eastAsia="仿宋_GB2312"/>
        </w:rPr>
        <w:t>委托，拟对</w:t>
      </w:r>
      <w:r>
        <w:rPr>
          <w:rFonts w:ascii="仿宋_GB2312" w:hAnsi="仿宋_GB2312" w:cs="仿宋_GB2312" w:eastAsia="仿宋_GB2312"/>
        </w:rPr>
        <w:t>蓝田县乡镇级集中式饮用水水源保护区规范化建设项目(一期)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GCCS26--001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蓝田县乡镇级集中式饮用水水源保护区规范化建设项目(一期)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蓝田县乡镇级集中式饮用水水源保护区规范化建设项目(一期），主要包括新建护栏围网、宣传牌、界标、交通警示牌等内容。需满足的要求:符合蓝田县乡镇级水源地保护工作实际需求和规范化建设要求，项目实施后可有效提升和保护各对应水源地生态环境质量，保障供水安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采购包1（蓝田县乡镇级集中式饮用水水源保护区规范化建设项目(一期)）：属于专门面向中小企业采购。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1、供应商资质要求：供应商须具备市政公用工程施工总承包叁级及以上资质，具有合格有效的安全生产许可证，在陕西省“建筑市场监管与诚信信息一体化平台”可查询。</w:t>
      </w:r>
    </w:p>
    <w:p>
      <w:pPr>
        <w:pStyle w:val="null3"/>
      </w:pPr>
      <w:r>
        <w:rPr>
          <w:rFonts w:ascii="仿宋_GB2312" w:hAnsi="仿宋_GB2312" w:cs="仿宋_GB2312" w:eastAsia="仿宋_GB2312"/>
        </w:rPr>
        <w:t>2、拟派项目负责人资质等级要求和专业要求：拟派本工程项目负责人具有市政公用工程专业贰级及以上注册建造师资格，具有合格有效的安全生产考核合格证（B证），在本单位注册，且无在建工程（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西安市蓝田县生态环境局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西安市蓝田县蓝水路中段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029-82829596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西安市唐延路35号旺座现代城C座26层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029-81130182 18049538114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采购包1：1,032,142.50元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参照《招标代理服务收费管理暂行办法》的通知（计价格[2002]1980号）和《关于招标代理服务收费有关问题的通知》（发改办价格[2003]857号）的有关规定按标准收取。（2）采购代理服务费缴纳账户： 开户名称：陕西国采项目管理有限公司 开户行：中国建设银行股份有限公司西安大庆路支行 账号：61050174360000000901。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西安市蓝田县生态环境局</w:t>
      </w:r>
      <w:r>
        <w:rPr>
          <w:rFonts w:ascii="仿宋_GB2312" w:hAnsi="仿宋_GB2312" w:cs="仿宋_GB2312" w:eastAsia="仿宋_GB2312"/>
        </w:rPr>
        <w:t>和</w:t>
      </w:r>
      <w:r>
        <w:rPr>
          <w:rFonts w:ascii="仿宋_GB2312" w:hAnsi="仿宋_GB2312" w:cs="仿宋_GB2312" w:eastAsia="仿宋_GB2312"/>
        </w:rPr>
        <w:t>陕西国采项目管理有限公司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西安市蓝田县生态环境局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西安市蓝田县生态环境局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符合国家、地方及行业相关合格标准，符合采购人要求。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陕西国采项目管理有限公司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联系电话：029-81130182 18049538114</w:t>
      </w:r>
    </w:p>
    <w:p>
      <w:pPr>
        <w:pStyle w:val="null3"/>
      </w:pPr>
      <w:r>
        <w:rPr>
          <w:rFonts w:ascii="仿宋_GB2312" w:hAnsi="仿宋_GB2312" w:cs="仿宋_GB2312" w:eastAsia="仿宋_GB2312"/>
        </w:rPr>
        <w:t>地址：西安市唐延路35号旺座现代城C座26层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1,032,142.50</w:t>
      </w:r>
    </w:p>
    <w:p>
      <w:pPr>
        <w:pStyle w:val="null3"/>
      </w:pPr>
      <w:r>
        <w:rPr>
          <w:rFonts w:ascii="仿宋_GB2312" w:hAnsi="仿宋_GB2312" w:cs="仿宋_GB2312" w:eastAsia="仿宋_GB2312"/>
        </w:rPr>
        <w:t>采购包最高限价（元）: 1,032,142.50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蓝田县乡镇级集中式饮用水水源保护区规范化建设项目(一期)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1,032,142.50</w:t>
            </w:r>
          </w:p>
        </w:tc>
        <w:tc>
          <w:tcPr>
            <w:tcW w:type="dxa" w:w="1384"/>
          </w:tcPr>
          <w:p>
            <w:pPr>
              <w:pStyle w:val="null3"/>
            </w:pPr>
            <w:r>
              <w:rPr>
                <w:rFonts w:ascii="仿宋_GB2312" w:hAnsi="仿宋_GB2312" w:cs="仿宋_GB2312" w:eastAsia="仿宋_GB2312"/>
              </w:rPr>
              <w:t>1032142.50</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标的名称：蓝田县乡镇级集中式饮用水水源保护区规范化建设项目(一期)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ind w:firstLine="420"/>
              <w:jc w:val="left"/>
            </w:pPr>
            <w:r>
              <w:rPr>
                <w:rFonts w:ascii="仿宋_GB2312" w:hAnsi="仿宋_GB2312" w:cs="仿宋_GB2312" w:eastAsia="仿宋_GB2312"/>
                <w:sz w:val="16"/>
              </w:rPr>
              <w:t>一、项目概况：</w:t>
            </w:r>
          </w:p>
          <w:p>
            <w:pPr>
              <w:pStyle w:val="null3"/>
              <w:spacing w:before="105" w:after="105"/>
              <w:ind w:firstLine="420"/>
              <w:jc w:val="both"/>
            </w:pPr>
            <w:r>
              <w:rPr>
                <w:rFonts w:ascii="仿宋_GB2312" w:hAnsi="仿宋_GB2312" w:cs="仿宋_GB2312" w:eastAsia="仿宋_GB2312"/>
                <w:sz w:val="16"/>
              </w:rPr>
              <w:t xml:space="preserve"> 1、项目名称：蓝田县乡镇级集中式饮用水水源保护区规范化建设项目(一期)</w:t>
            </w:r>
          </w:p>
          <w:p>
            <w:pPr>
              <w:pStyle w:val="null3"/>
              <w:spacing w:before="105" w:after="105"/>
              <w:ind w:firstLine="420"/>
              <w:jc w:val="both"/>
            </w:pPr>
            <w:r>
              <w:rPr>
                <w:rFonts w:ascii="仿宋_GB2312" w:hAnsi="仿宋_GB2312" w:cs="仿宋_GB2312" w:eastAsia="仿宋_GB2312"/>
                <w:sz w:val="16"/>
              </w:rPr>
              <w:t xml:space="preserve"> 2、项目地点：陕西省西安市蓝田县</w:t>
            </w:r>
          </w:p>
          <w:p>
            <w:pPr>
              <w:pStyle w:val="null3"/>
              <w:spacing w:before="105" w:after="105"/>
              <w:ind w:firstLine="360"/>
              <w:jc w:val="left"/>
            </w:pPr>
            <w:r>
              <w:rPr>
                <w:rFonts w:ascii="仿宋_GB2312" w:hAnsi="仿宋_GB2312" w:cs="仿宋_GB2312" w:eastAsia="仿宋_GB2312"/>
                <w:sz w:val="16"/>
              </w:rPr>
              <w:t>二、施工范围：</w:t>
            </w:r>
          </w:p>
          <w:p>
            <w:pPr>
              <w:pStyle w:val="null3"/>
              <w:spacing w:before="105" w:after="105"/>
              <w:ind w:firstLine="420"/>
              <w:jc w:val="both"/>
            </w:pPr>
            <w:r>
              <w:rPr>
                <w:rFonts w:ascii="仿宋_GB2312" w:hAnsi="仿宋_GB2312" w:cs="仿宋_GB2312" w:eastAsia="仿宋_GB2312"/>
                <w:sz w:val="16"/>
              </w:rPr>
              <w:t>蓝田县乡镇级集中式饮用水水</w:t>
            </w:r>
            <w:r>
              <w:rPr>
                <w:rFonts w:ascii="仿宋_GB2312" w:hAnsi="仿宋_GB2312" w:cs="仿宋_GB2312" w:eastAsia="仿宋_GB2312"/>
                <w:sz w:val="16"/>
              </w:rPr>
              <w:t>源保护区规范化建设项目(一期），主要包括新建护栏围网、宣传牌、界标、交通警示牌等内容，详见工程量清单。</w:t>
            </w:r>
          </w:p>
          <w:p>
            <w:pPr>
              <w:pStyle w:val="null3"/>
              <w:spacing w:before="105" w:after="105"/>
              <w:ind w:firstLine="360"/>
              <w:jc w:val="left"/>
            </w:pPr>
            <w:r>
              <w:rPr>
                <w:rFonts w:ascii="仿宋_GB2312" w:hAnsi="仿宋_GB2312" w:cs="仿宋_GB2312" w:eastAsia="仿宋_GB2312"/>
                <w:sz w:val="16"/>
              </w:rPr>
              <w:t>三、工程质量标准：符合国家、地方及行业相关合格标准，符合采购人要求。</w:t>
            </w:r>
          </w:p>
          <w:p>
            <w:pPr>
              <w:pStyle w:val="null3"/>
              <w:spacing w:before="105" w:after="105"/>
              <w:jc w:val="left"/>
            </w:pPr>
            <w:r>
              <w:rPr>
                <w:rFonts w:ascii="仿宋_GB2312" w:hAnsi="仿宋_GB2312" w:cs="仿宋_GB2312" w:eastAsia="仿宋_GB2312"/>
                <w:sz w:val="16"/>
              </w:rPr>
              <w:t xml:space="preserve">   四、施工要求</w:t>
            </w:r>
          </w:p>
          <w:p>
            <w:pPr>
              <w:pStyle w:val="null3"/>
              <w:spacing w:before="105" w:after="105"/>
              <w:ind w:left="210" w:firstLine="420"/>
              <w:jc w:val="left"/>
            </w:pPr>
            <w:r>
              <w:rPr>
                <w:rFonts w:ascii="仿宋_GB2312" w:hAnsi="仿宋_GB2312" w:cs="仿宋_GB2312" w:eastAsia="仿宋_GB2312"/>
                <w:sz w:val="16"/>
              </w:rPr>
              <w:t>1、理解采购人的拆除、安装工作需求。根据拆除标识牌的面积与路线配置相关的人员、设备进行施工。需考虑到与当地部门及附近居民涉及沟通协调的问题。</w:t>
            </w:r>
          </w:p>
          <w:p>
            <w:pPr>
              <w:pStyle w:val="null3"/>
              <w:spacing w:before="105" w:after="105"/>
              <w:ind w:left="210" w:firstLine="420"/>
              <w:jc w:val="left"/>
            </w:pPr>
            <w:r>
              <w:rPr>
                <w:rFonts w:ascii="仿宋_GB2312" w:hAnsi="仿宋_GB2312" w:cs="仿宋_GB2312" w:eastAsia="仿宋_GB2312"/>
                <w:sz w:val="16"/>
              </w:rPr>
              <w:t>2、安装方案：需自身进行评估，然后选择安全的方式进行安装。对应各种不同的类别选择适用的安装工艺、安装需牢固可靠。安装时需结合地理位置、道路交通情况。考虑安装人员的安全问题及是否涉及需要与交通部门沟通协调的问题。</w:t>
            </w:r>
          </w:p>
          <w:p>
            <w:pPr>
              <w:pStyle w:val="null3"/>
              <w:spacing w:before="105" w:after="105"/>
              <w:ind w:left="210" w:firstLine="420"/>
              <w:jc w:val="left"/>
            </w:pPr>
            <w:r>
              <w:rPr>
                <w:rFonts w:ascii="仿宋_GB2312" w:hAnsi="仿宋_GB2312" w:cs="仿宋_GB2312" w:eastAsia="仿宋_GB2312"/>
                <w:sz w:val="16"/>
              </w:rPr>
              <w:t>3、施工安全要求：施工过程中需保障人员安全及施工环境安全。</w:t>
            </w:r>
          </w:p>
          <w:p>
            <w:pPr>
              <w:pStyle w:val="null3"/>
              <w:spacing w:before="105" w:after="105"/>
              <w:ind w:firstLine="360"/>
              <w:jc w:val="left"/>
            </w:pPr>
            <w:r>
              <w:rPr>
                <w:rFonts w:ascii="仿宋_GB2312" w:hAnsi="仿宋_GB2312" w:cs="仿宋_GB2312" w:eastAsia="仿宋_GB2312"/>
                <w:sz w:val="16"/>
              </w:rPr>
              <w:t>五、工程实施期限：</w:t>
            </w:r>
          </w:p>
          <w:p>
            <w:pPr>
              <w:pStyle w:val="null3"/>
              <w:spacing w:before="105" w:after="105"/>
              <w:ind w:left="210" w:firstLine="420"/>
              <w:jc w:val="left"/>
            </w:pPr>
            <w:r>
              <w:rPr>
                <w:rFonts w:ascii="仿宋_GB2312" w:hAnsi="仿宋_GB2312" w:cs="仿宋_GB2312" w:eastAsia="仿宋_GB2312"/>
                <w:sz w:val="16"/>
              </w:rPr>
              <w:t>60日历天。遇阴雨天及不可抗力因素以及非中标人施工因素影响、工期相应顺延（顺延工期应由采购人、施工单位共同签字确认）。</w:t>
            </w:r>
          </w:p>
          <w:p>
            <w:pPr>
              <w:pStyle w:val="null3"/>
              <w:spacing w:before="105" w:after="105"/>
              <w:ind w:firstLine="360"/>
              <w:jc w:val="left"/>
            </w:pPr>
            <w:r>
              <w:rPr>
                <w:rFonts w:ascii="仿宋_GB2312" w:hAnsi="仿宋_GB2312" w:cs="仿宋_GB2312" w:eastAsia="仿宋_GB2312"/>
                <w:sz w:val="16"/>
              </w:rPr>
              <w:t>六、款项支付约定：</w:t>
            </w:r>
          </w:p>
          <w:p>
            <w:pPr>
              <w:pStyle w:val="null3"/>
              <w:spacing w:before="105" w:after="105"/>
              <w:ind w:left="210" w:firstLine="420"/>
              <w:jc w:val="left"/>
            </w:pPr>
            <w:r>
              <w:rPr>
                <w:rFonts w:ascii="仿宋_GB2312" w:hAnsi="仿宋_GB2312" w:cs="仿宋_GB2312" w:eastAsia="仿宋_GB2312"/>
                <w:sz w:val="16"/>
              </w:rPr>
              <w:t>1、付款方式:供应商与采购人合同签订完成后，支付合同金额的40%；工程全部完工，由采购人验收合格后，待结算审核完成，支付合同金额的60%。</w:t>
            </w:r>
          </w:p>
          <w:p>
            <w:pPr>
              <w:pStyle w:val="null3"/>
              <w:spacing w:before="105" w:after="105"/>
              <w:ind w:left="210" w:firstLine="420"/>
              <w:jc w:val="left"/>
            </w:pPr>
            <w:r>
              <w:rPr>
                <w:rFonts w:ascii="仿宋_GB2312" w:hAnsi="仿宋_GB2312" w:cs="仿宋_GB2312" w:eastAsia="仿宋_GB2312"/>
                <w:sz w:val="16"/>
              </w:rPr>
              <w:t>2、付款依据:采购人出具的验收报告、供应商提供的等额发票、工程量确认单。</w:t>
            </w:r>
          </w:p>
          <w:p>
            <w:pPr>
              <w:pStyle w:val="null3"/>
              <w:spacing w:before="105" w:after="105"/>
              <w:ind w:left="210" w:firstLine="420"/>
              <w:jc w:val="left"/>
            </w:pPr>
            <w:r>
              <w:rPr>
                <w:rFonts w:ascii="仿宋_GB2312" w:hAnsi="仿宋_GB2312" w:cs="仿宋_GB2312" w:eastAsia="仿宋_GB2312"/>
                <w:sz w:val="16"/>
              </w:rPr>
              <w:t>注:工程结算以财政结算审定价款据实结算。</w:t>
            </w:r>
          </w:p>
          <w:p>
            <w:pPr>
              <w:pStyle w:val="null3"/>
            </w:pPr>
            <w:r>
              <w:rPr>
                <w:rFonts w:ascii="仿宋_GB2312" w:hAnsi="仿宋_GB2312" w:cs="仿宋_GB2312" w:eastAsia="仿宋_GB2312"/>
                <w:sz w:val="16"/>
              </w:rPr>
              <w:t xml:space="preserve"> 七、工程量清单：详见附件。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符合国家、地方及行业相关合格标准，符合采购人要求。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符合国家、地方及行业相关合格标准，符合采购人要求。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暂列金额按10.00万元计取，用于材料倒运等不可预见项目发生时使用。暂列金是暂定并包括在合同价款中的一笔款项。用于合同签订时尚未确定或者不可预见的所需材料、设备、服务的采购，实施中可能发生的程变更、合同约定调整因素出现时的合同价款调整以及发生的索赔、现场签证确认等的费用。该款项使用权归、未使用部分资金得所有权归采购人所有。（2）工程量清单编制使用软件：广联达云计价平台GCCP7.0版本7.5000.23.2。（3）本项目混凝土采用商品混凝土。（4）本项目采购标的对应的中小企业划分标准所属行业为建筑业。 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5）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6）根据《陕西省财政厅关于持续优化政府采购营商环境有关事项的通知》（陕财办采〔2024〕9 号）文件的通知，采购人在中标（成交）通知书发出之日起 25 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磋商前12个月以来已缴纳任意时段完税凭证或税务机关开具的完税证明（任意税种），依法免税的应提供相关文件证明，公益类事业单位可不提供；（3）社会保障资金缴纳证明：提供供应商自磋商前12个月以来已缴存的任意时段的社会保障资金缴存单据或社保机构开具的社会保险参保缴费情况证明，依法不需要缴纳社会保障资金的供应商应提供相关文件证明，公益类事业单位可不提供；（4）提供供应商具备履行合同所必需的设备和专业技术能力的证明材料；（5）供应商参加本次磋商前3年内，在经营活动中没有重大违法记录的书面声明；（6）采购人、采购代理机构将通过“信用中国”网站（www.creditchina.gov.cn）和中国政府采购网站（www.ccgp.gov.cn）查询供应商信用记录，列入失信被执行人名单、重大税收违法失信主体、政府采购严重违法失信行为记录名单中的供应商将被拒绝参与本项目投标。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提供2024年度或2025年度经审计的供应商财务报告或磋商前三个月内基本户开户银行出具的资信证明，公益类事业单位可不提供。供应商需在项目电子化交易系统中按要求上传相应证明文件并进行电子签章。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供应商须具备市政公用工程施工总承包叁级及以上资质，具有合格有效的安全生产许可证，在陕西省“建筑市场监管与诚信信息一体化平台”可查询。</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拟派项目负责人资质等级要求和专业要求</w:t>
            </w:r>
          </w:p>
        </w:tc>
        <w:tc>
          <w:tcPr>
            <w:tcW w:type="dxa" w:w="3322"/>
          </w:tcPr>
          <w:p>
            <w:pPr>
              <w:pStyle w:val="null3"/>
            </w:pPr>
            <w:r>
              <w:rPr>
                <w:rFonts w:ascii="仿宋_GB2312" w:hAnsi="仿宋_GB2312" w:cs="仿宋_GB2312" w:eastAsia="仿宋_GB2312"/>
              </w:rPr>
              <w:t>拟派本工程项目负责人具有市政公用工程专业贰级及以上注册建造师资格，具有合格有效的安全生产考核合格证（B证），在本单位注册，且无在建工程（提供承诺书）。</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法定代表人（单位负责人）参加磋商的，提供法定代表人（单位负责人）身份证明；法定代表人（单位负责人）授权他人参加磋商的，提供法定代表人（单位负责人）委托授权书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符合“响应文件格式”和磋商文件要求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报价函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工程量</w:t>
            </w:r>
          </w:p>
        </w:tc>
        <w:tc>
          <w:tcPr>
            <w:tcW w:type="dxa" w:w="3322"/>
          </w:tcPr>
          <w:p>
            <w:pPr>
              <w:pStyle w:val="null3"/>
            </w:pPr>
            <w:r>
              <w:rPr>
                <w:rFonts w:ascii="仿宋_GB2312" w:hAnsi="仿宋_GB2312" w:cs="仿宋_GB2312" w:eastAsia="仿宋_GB2312"/>
              </w:rPr>
              <w:t>符合磋商文件给出的范围和数量</w:t>
            </w:r>
          </w:p>
        </w:tc>
        <w:tc>
          <w:tcPr>
            <w:tcW w:type="dxa" w:w="1661"/>
          </w:tcPr>
          <w:p>
            <w:pPr>
              <w:pStyle w:val="null3"/>
            </w:pPr>
            <w:r>
              <w:rPr>
                <w:rFonts w:ascii="仿宋_GB2312" w:hAnsi="仿宋_GB2312" w:cs="仿宋_GB2312" w:eastAsia="仿宋_GB2312"/>
              </w:rPr>
              <w:t>已标价工程量清单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一、评审内容 针对本项目内容提出适用于本项目的施工组织和项目管理机构，方案包括：①施工组织方案；②项目管理机构组织方案。 二、评审标准 1、完整性：方案必须全面，对评审内容中的各项要求有详细描述； 2、针对性：方案能够紧扣项目实际情况，内容科学合理； 3、可实施性：切合本项目实际情况，提出步骤清晰、合理的方案。 三、赋分标准（满分6分） ①施工组织方案：每完全满足一个评审标准得1分；针对评审标准存在有不合理处的得0.5分；内容与本项目无关或未提供的得0分。 ②项目管理机构组织方案:每完全满足一个评审标准得1分；针对评审标准存在有不合理处的得0.5分；内容与本项目无关或未提供的得0分。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针对本项目内容提出适用于本项目的施工方案，方案包括：①护栏围网施工方案；②宣传牌、界标、交通警示牌安装方案；③施工场地管理方案；④场地与人员管理方案。 二、评审标准 1、完整性：方案必须全面，对评审内容中的各项要求有详细描述； 2、针对性：方案能够紧扣项目实际情况，内容科学合理； 3、可实施性：切合本项目实际情况，提出步骤清晰、合理的方案。 二、赋分标准（满分12分） ①护栏围网施工方案：每完全满足一个评审标准得1分；针对评审标准存在有不合理处的得0.5分；内容与本项目无关或未提供的得0分。 ②宣传牌、界标、交通警示牌安装方案：每完全满足一个评审标准得1分；针对评审标准存在有不合理处的得0.5分；内容与本项目无关或未提供的得0分。 ③施工场地管理方案：每完全满足一个评审标准得1分；针对评审标准存在有不合理处的得0.5分；内容与本项目无关或未提供的得0分。 ④场地与人员管理方案：每完全满足一个评审标准得1分；针对评审标准存在有不合理处的得0.5分；内容与本项目无关或未提供的得0分。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余方外运及防尘方案</w:t>
            </w:r>
          </w:p>
        </w:tc>
        <w:tc>
          <w:tcPr>
            <w:tcW w:type="dxa" w:w="2492"/>
          </w:tcPr>
          <w:p>
            <w:pPr>
              <w:pStyle w:val="null3"/>
            </w:pPr>
            <w:r>
              <w:rPr>
                <w:rFonts w:ascii="仿宋_GB2312" w:hAnsi="仿宋_GB2312" w:cs="仿宋_GB2312" w:eastAsia="仿宋_GB2312"/>
              </w:rPr>
              <w:t>一、评审内容 针对采购内容提出适用于本项目的余方外运及防尘方案，方案包括：①余方垃圾外运方案；②服务现场及外运过程中的防尘方案；③余方运输过程中的人员安全及驾驶安全方案。 二、评审标准 1、完整性：方案必须全面，对评审内容中的各项要求有详细描述； 2、针对性：方案能够紧扣项目实际情况，内容科学合理； 3、可实施性：切合本项目实际情况，提出步骤清晰、合理的方案。 三、赋分标准（满分9分） ①余方垃圾外运方案：每完全满足一个评审标准得1分；针对每条评审标准，如存在不合理的方面，得0.5分；针对每条评审标准，方案内容与本项目无关或未提供的，得0分。 ②服务现场及外运过程中的防尘方案：每完全满足一个评审标准得1分；针对每条评审标准，如存在不合理的方面，得0.5分；针对每条评审标准，方案内容与本项目无关或未提供的，得0分。 ③余方运输过程中的人员安全及驾驶安全方案：每完全满足一个评审标准得1分；针对每条评审标准，如存在不合理的方面，得0.5分；针对每条评审标准，方案内容与本项目无关或未提供的，得0分。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施工机械配备投入计划与劳动力安排计划</w:t>
            </w:r>
          </w:p>
        </w:tc>
        <w:tc>
          <w:tcPr>
            <w:tcW w:type="dxa" w:w="2492"/>
          </w:tcPr>
          <w:p>
            <w:pPr>
              <w:pStyle w:val="null3"/>
            </w:pPr>
            <w:r>
              <w:rPr>
                <w:rFonts w:ascii="仿宋_GB2312" w:hAnsi="仿宋_GB2312" w:cs="仿宋_GB2312" w:eastAsia="仿宋_GB2312"/>
              </w:rPr>
              <w:t>一、评审内容 针对本项目内容提出适用于本项目的施工机械配备投入计划与劳动力安排计划，包括：①施工机械配备方案；②劳动力安排计划。 二、评审标准 1、完整性：方案必须全面，对评审内容中的各项要求有详细描述； 2、针对性：方案能够紧扣项目实际情况，内容合理； 3、科学性：切合本项目实际情况，投入计划与安排方案科学合理。 二、赋分标准（满分6分） ①施工机械配备方案：每完全满足一个评审标准得1分；针对评审标准存在有不合理处的得0.5分；内容与本项目无关或未提供的得0分。 ②劳动力安排计划：每完全满足一个评审标准得1分；针对评审标准存在有不合理处的得0.5分；内容与本项目无关或未提供的得0分。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针对本项目内容提出适用于本项目的保障措施：包括：①确保工程质量的技术组织措施；②确保安全生产技术组织措施；③确保文明施工的技术组织措施；④确保环境保护的组织措施；⑤确保工期的技术组织措施。 二、评审标准 1、完整性：方案必须全面，对评审内容中的各项要求有详细描述； 2、针对性：方案能够紧扣项目实际情况，内容科学合理； 3、可实施性：切合本项目实际情况，提出步骤清晰、合理的方案。 三、赋分标准（满分15分） ①确保工程质量的技术组织措施：每完全满足一个评审标准得1分；针对评审标准存在有不合理处的得0.5分；内容与本项目无关或未提供的得0分。 ②确保安全生产技术组织措施：每完全满足一个评审标准得1分；针对评审标准存在有不合理处的得0.5分；内容与本项目无关或未提供的得0分。 ③确保文明施工的技术组织措施：每完全满足一个评审标准得1分；针对评审标准存在有不合理处的得0.5分；内容与本项目无关或未提供的得0分。 ④确保环境保护的组织措施：每完全满足一个评审标准得1分；针对评审标准存在有不合理处的得0.5分；内容与本项目无关或未提供的得0分。 ⑤确保工期的技术组织措施：每完全满足一个评审标准得1分；针对评审标准存在有不合理处的得0.5分；内容与本项目无关或未提供的得0分。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针对本项目内容提出适用于本项目的应急预案，包括①人员安全等紧急事故应急组织预案；②特殊天气等其他紧急情况下的应急组织预案。 二、评审标准 1、完整性：方案必须全面，对评审内容中的各项要求有详细描述； 2、针对性：方案能够紧扣项目实际情况，内容科学合理； 3、可实施性：切合本项目实际情况，提出步骤清晰、合理的方案。 三、赋分标准（满分6分） ①人员安全等紧急事故应急组织预案：每完全满足一个评审标准得1分；针对评审标准存在有不合理处的得0.5分；内容与本项目无关或未提供的得0分。 ②特殊天气等其他紧急情况下的应急组织预案：每完全满足一个评审标准得1分；针对评审标准存在有不合理处的得0.5分；内容与本项目无关或未提供的得0分。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承诺</w:t>
            </w:r>
          </w:p>
        </w:tc>
        <w:tc>
          <w:tcPr>
            <w:tcW w:type="dxa" w:w="2492"/>
          </w:tcPr>
          <w:p>
            <w:pPr>
              <w:pStyle w:val="null3"/>
            </w:pPr>
            <w:r>
              <w:rPr>
                <w:rFonts w:ascii="仿宋_GB2312" w:hAnsi="仿宋_GB2312" w:cs="仿宋_GB2312" w:eastAsia="仿宋_GB2312"/>
              </w:rPr>
              <w:t>一、评审内容 针对本项目内容提出适用于本项目的相关承诺，包括：①对实施过程中与采购人的沟通、协调等内容做出承诺；②供应商对施工过程产生的垃圾按规定倾倒、不随意抛洒等内容做出承诺；③供应商对工期时限、工程质量及进度等内容作出承诺；④施工过程中对施工人员安全及周边人员等安全保障的承诺；⑤对于施工过程中涉及的材料来源渠道合法正规做出承诺。 二、评审标准 1、完整性：方案必须全面，对评审内容中的各项要求有详细描述； 2、针对性：方案能够紧扣项目实际情况，内容科学合理； 3、可实施性：切合本项目实际情况，提出步骤清晰、合理的方案。 三、赋分标准（满分15分） ①对实施过程中与采购人的沟通、协调等内容做出承诺：每完全满足一个评审标准得1分；针对评审标准存在有不合理处的得0.5分；内容与本项目无关或未提供的得0分。 ②供应商对施工过程产生的垃圾按规定倾倒、不随意抛洒等内容做出承诺：每完全满足一个评审标准得1分；针对评审标准存在有不合理处的得0.5分；内容与本项目无关或未提供的得0分。 ③供应商对工期时限、工程质量及进度等内容作出承诺：每完全满足一个评审标准得1分；针对评审标准存在有不合理处的得0.5分；内容与本项目无关或未提供的得0分。 ④施工过程中对施工人员安全及周边人员安全等安全保障的承诺：每完全满足一个评审标准得1分；针对评审标准存在有不合理处的得0.5分；内容内容与本项目无关或未提供的得0分。 ⑤对于施工过程中涉及的材料来源渠道合法正规做出承诺：每完全满足一个评审标准得1分；针对评审标准存在有不合理处的得0.5分；内容内容与本项目无关或未提供的得0分。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主要材料与设备为节能产品或环境标志产品的，每种产品得0.5分，最高得1分，没有不得分；（供应商需提供所需主要原材料与设备经国家确定的认证机构出具的、处于有效期之内的节能产品或环境标志产品认证证书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