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版本号：【KRDL】K5-260100220260119001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购置连续性血液净化机、电子支气管镜等设备一批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【KRDL】K5-2601002</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购置连续性血液净化机、电子支气管镜等设备一批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【KRDL】K5-2601002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购置连续性血液净化机、电子支气管镜等设备一批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西安市红会医院重症医学科配置连续性血液净化机、电子支气管镜等设备一批。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2、信誉要求：供应商截止响应文件递交截止时间之前未被“信用中国”网站列入失信被执行人、重大税收违法失信主体名单，未被“中国政府采购网”网站列入政府采购严重违法失信行为记录名单；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要求：供应商为全部所投产品的生产厂商的，应按照现行医疗器械生产及销售的有关法律法规的规定，提供有效的医疗器械相应的医疗器械生产许可证。同时提供全部所投医疗器械的有效医疗器械注册证。 供应商投标医疗器械非全部为自身生产的，除提供上述材料外，需同时提供供应商合法有效的相应医疗器械经营许可证或医疗器械经营备案凭证；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西安市碑林区南稍门南郭路76号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姚瑶、王森、杨莉、王昭、刘昆、张晨、代光艳、靳祥德、成荔、彭明杨、王莉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029-81870236、18182629703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说明：成交供应商应当在成交结果公示发布后五个工作日内将项目履约保证金（成交总额的5%）转账至采购人基本户, 合同约定事宜完成，所有设备功能完好，退还履约保证金。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采购代理服务收费管理暂行办法》（计价格[2002]1980号）以及国家发展和改革委员会办公厅颁发的《关于采购代理服务收费有关问题的通知》（发改办价格[2003] 857号）的有关规定标准下浮20%，向采购代理机构一次付清代理服务费。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西安市红会医院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按照磋商文件、磋商响应文件及合同要求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该西安市红会医院重症医学科配置连续性血液净化机、电子支气管镜等设备一批。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7"/>
              <w:gridCol w:w="185"/>
              <w:gridCol w:w="3337"/>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参数性质</w:t>
                  </w:r>
                </w:p>
              </w:tc>
              <w:tc>
                <w:tcPr>
                  <w:tcW w:type="dxa" w:w="3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技术参数与性能指标</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一、采购内容</w:t>
                  </w:r>
                </w:p>
                <w:tbl>
                  <w:tblPr>
                    <w:tblBorders>
                      <w:top w:val="none" w:color="000000" w:sz="4"/>
                      <w:left w:val="none" w:color="000000" w:sz="4"/>
                      <w:bottom w:val="none" w:color="000000" w:sz="4"/>
                      <w:right w:val="none" w:color="000000" w:sz="4"/>
                      <w:insideH w:val="none"/>
                      <w:insideV w:val="none"/>
                    </w:tblBorders>
                  </w:tblPr>
                  <w:tblGrid>
                    <w:gridCol w:w="746"/>
                    <w:gridCol w:w="1660"/>
                    <w:gridCol w:w="540"/>
                    <w:gridCol w:w="780"/>
                    <w:gridCol w:w="933"/>
                  </w:tblGrid>
                  <w:tr>
                    <w:tc>
                      <w:tcPr>
                        <w:tcW w:type="dxa" w:w="74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序号</w:t>
                        </w:r>
                      </w:p>
                    </w:tc>
                    <w:tc>
                      <w:tcPr>
                        <w:tcW w:type="dxa" w:w="166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设备名称</w:t>
                        </w:r>
                      </w:p>
                    </w:tc>
                    <w:tc>
                      <w:tcPr>
                        <w:tcW w:type="dxa" w:w="54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数量</w:t>
                        </w:r>
                      </w:p>
                    </w:tc>
                    <w:tc>
                      <w:tcPr>
                        <w:tcW w:type="dxa" w:w="78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单价最高限价</w:t>
                        </w:r>
                      </w:p>
                      <w:p>
                        <w:pPr>
                          <w:pStyle w:val="null3"/>
                          <w:jc w:val="center"/>
                        </w:pPr>
                        <w:r>
                          <w:rPr>
                            <w:rFonts w:ascii="仿宋_GB2312" w:hAnsi="仿宋_GB2312" w:cs="仿宋_GB2312" w:eastAsia="仿宋_GB2312"/>
                            <w:sz w:val="24"/>
                            <w:color w:val="0000FF"/>
                          </w:rPr>
                          <w:t>（万元）</w:t>
                        </w:r>
                      </w:p>
                    </w:tc>
                    <w:tc>
                      <w:tcPr>
                        <w:tcW w:type="dxa" w:w="93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合价金额（万元）</w:t>
                        </w:r>
                      </w:p>
                    </w:tc>
                  </w:tr>
                  <w:tr>
                    <w:tc>
                      <w:tcPr>
                        <w:tcW w:type="dxa" w:w="74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品目一</w:t>
                        </w:r>
                      </w:p>
                    </w:tc>
                    <w:tc>
                      <w:tcPr>
                        <w:tcW w:type="dxa" w:w="16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连续性血液净化机</w:t>
                        </w:r>
                      </w:p>
                      <w:p>
                        <w:pPr>
                          <w:pStyle w:val="null3"/>
                          <w:jc w:val="center"/>
                        </w:pPr>
                        <w:r>
                          <w:rPr>
                            <w:rFonts w:ascii="仿宋_GB2312" w:hAnsi="仿宋_GB2312" w:cs="仿宋_GB2312" w:eastAsia="仿宋_GB2312"/>
                            <w:sz w:val="24"/>
                            <w:color w:val="0000FF"/>
                          </w:rPr>
                          <w:t>【核心产品】</w:t>
                        </w:r>
                      </w:p>
                    </w:tc>
                    <w:tc>
                      <w:tcPr>
                        <w:tcW w:type="dxa" w:w="5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3</w:t>
                        </w:r>
                      </w:p>
                    </w:tc>
                    <w:tc>
                      <w:tcPr>
                        <w:tcW w:type="dxa" w:w="78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25</w:t>
                        </w:r>
                      </w:p>
                    </w:tc>
                    <w:tc>
                      <w:tcPr>
                        <w:tcW w:type="dxa" w:w="9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75</w:t>
                        </w:r>
                      </w:p>
                    </w:tc>
                  </w:tr>
                  <w:tr>
                    <w:tc>
                      <w:tcPr>
                        <w:tcW w:type="dxa" w:w="74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品目二</w:t>
                        </w:r>
                      </w:p>
                    </w:tc>
                    <w:tc>
                      <w:tcPr>
                        <w:tcW w:type="dxa" w:w="16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电子支气管镜</w:t>
                        </w:r>
                      </w:p>
                    </w:tc>
                    <w:tc>
                      <w:tcPr>
                        <w:tcW w:type="dxa" w:w="5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1</w:t>
                        </w:r>
                      </w:p>
                    </w:tc>
                    <w:tc>
                      <w:tcPr>
                        <w:tcW w:type="dxa" w:w="78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9</w:t>
                        </w:r>
                      </w:p>
                    </w:tc>
                    <w:tc>
                      <w:tcPr>
                        <w:tcW w:type="dxa" w:w="9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FF"/>
                          </w:rPr>
                          <w:t>9</w:t>
                        </w:r>
                      </w:p>
                    </w:tc>
                  </w:tr>
                </w:tbl>
                <w:p>
                  <w:pPr>
                    <w:pStyle w:val="null3"/>
                    <w:jc w:val="both"/>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FF"/>
                    </w:rPr>
                    <w:t>二、技术参数</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FF"/>
                    </w:rPr>
                    <w:t>品目一：连续性血液净化机</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FF"/>
                    </w:rPr>
                    <w:t>1.基本要求：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1.1投标机型必须为近三年上市持中华人民共和国医疗器械产品注册证，用于成人、儿童各种连续肾替代治疗、多脏器支持治疗和液体管理治疗模式。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1.2彩色触摸液晶屏≥12英寸，中文操作界面。</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1.3管路连接：全自动安装、预冲、安全测试泵管。</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1.4 泵数≥5个</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1.5 独立秤≥3个，单独秤称重范围为0-10kg，精确度为±15g。</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1.6 CRRT处方剂量执行率≥99%；</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1.7 具备自动废液系统，减少临床换袋工作量；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1.8 具备智能血液加温系统，联动控制。</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2.治疗功能要求：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2.1 具备缓慢持续超滤功能；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2.2 具备连续血液滤过功能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2.3 具备连续血液透析功能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2.4 具备连续血液透析滤过功能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2.5 具备血浆置换功能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19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2.6 具备血液灌流功能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2.7 CRRT、TPE治疗模式均具备相关儿童、幼儿耗材，且管路加滤器体外循环血量≤60ml，需提供相同品牌耗材型号及参数。</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3.抗凝要求：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3.1 具备局部枸橼酸抗凝、全身性抗凝、无抗凝剂治疗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3.2 支持CRRT全治疗模式下使用枸橼酸抗凝，包括TPE治疗；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3.3 枸橼酸抗凝治疗模式≥3种</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3.4 具备全自动一体化的枸橼酸抗凝治疗模式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3.5 枸橼酸抗凝配方≥3种。</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4.参数要求：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4.1 流速范围：</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29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4.1.1血液流速10-450ml/min</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4.1.2置换液流速0-8000ml/h</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4.1.3透析液流速0-8000ml/h</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4.1.4病人脱水量0-2000ml/h</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4.1.5血浆置换率0-5000ml/h</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4.2 压力检测范围：</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4.2.1输入压检测范围-250--+450mmHg；精度 ：±15mmHg</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4.2.2回输压检测范围-50--+350mmHg；精度 ：±5mmHg</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4.2.3滤器前压检测范围-50--+450mmHg；精度 ：±15mmHg</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4.2.4废液压力检测范围-350--+400mmHg；精度 ：±15mmHg</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5.其它要求：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39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5.1 防凝血：防凝血涡流式静脉壶，无气血液接触界面</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5.2 凝血报警：具备滤器凝血预警系统。</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5.3 加热装置：具备血液加温装置。</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5.4 具备抗静电装置</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 xml:space="preserve">5.5 具备防除颤CF最高等级。                         </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5.6 具备完备的空气检测功能。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5.7 具备完备的漏血检测功能。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5.8 具备漏液检测功能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5.9 具备备用电源，停电后能维持体外循环≥30分钟。</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5.10 无气血界面静脉壶，低容量 (≤8毫升) 静脉壶，半自动除气、自动液面调整。</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49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5.11 存储器可记录数据≥10年</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5.12 配备有各种对外接口和信息技术。</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品目二、电子支气管镜</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1.支气管镜</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1.1视场角≥120°；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1.2工作软管有效长度≥600mm；</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1.3分辨率：≥14 lp/mm；</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1.4景深3mm-150mm；</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1.5插入管外径≤5.0mm，工作通道内径≥2.5mm；</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1.6镜体插入管软管前端蛇骨弯曲角度：向上≥180°，向下≥130°；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59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1.7操作手柄插入管具备旋转功能；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1.8前端内置LED光源，LED光源光照度≥1000Lux；</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1.9吸引量≥600ml/min</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1.10具备操控部手柄按钮功能：支持图像摄录，图像冻结，图像缩放等预设功能；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1.11成像原理：全电子CMOS成像技术，工作软管内不含导像及导光纤维；</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1.12插入部前端部采用医用高分子材质，具备良好的生物兼容性，内外绝缘；</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1.13具备前端LED光源防护设计，及防雾功能；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1.14吸引按键具备内固定装置，掀动自如，预防脱落；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1.15插入管采用耐磨损及耐腐蚀材料；</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1.16色彩还原分辨标准色板≥20种颜色；</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69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1.17洗消方式≥2种，自带保护帽，支持全镜体的浸泡或低温等离子灭菌洗消；</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FF"/>
                    </w:rPr>
                    <w:t>70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1.18吸引按键可分解，消毒灭菌后可重复使用；</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1.19镜体总重量≤350g；</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1.20通过显示器提供影像，用于气管、支气管的管观察、诊断和治疗；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1.21设备使用年限≥6年；</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2.便携显示终端</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2.1屏幕≥10寸触摸显示屏；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2.2支持复用电子支气管镜和一次性电子支气管镜进行连接成像;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77</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2.3显示屏分辨率≥1920*1200；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2.4网络连接：内置Wi-Fi模块；</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w:t>
                  </w: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2.5内置锂离子电池，电池容量≥6000mAh；</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2.6内置内存空间：≥64G，可U盘一键导出数据，无需读卡器；</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2.7信号输出接口：≥3个，包括USB接口*2、HDMI接口；信号输入接口：≥2种；</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2.8具备电子放大功能，四级可调（ 0.5、1.0、2.0、3.0）；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2.9具备图像≥8级亮度调节功能；</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2.10具备白平衡记忆功能，快速一键白平衡调节；</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2.11支持拍照、录像、冻结、回放等功能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自合同签订之日起60个日历日完成全部项目内容，并交付甲方验收合格。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西安市红会医院指定地点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合同全部设备安装、调试完毕，经甲乙双方验收合格后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1.货物到达甲方指定地点后，甲方根据合同要求，进行外观验收，确认产地、规格、型号和数量。甲方、乙双方须在约定的时间和地点共同开箱检验。 2.设备安装、调试、自检正常，且可正常使用后，由乙方书面通知甲方。 3.甲方核查乙方提供的设备自检正常报告后，开始进行设备验收。设备验收合格后，填写设备验收单作为对货物的最终认可。 4.乙方须向甲方提交货物实施过程中的所有资料，以便甲方日后管理和维护。 5.验收依据： 5.1本合同及附件文本； 5.2国家相应的标准、规范； 5.3磋商文件、响应文件、澄清表（函）； 5.4易损配件、备件、耗材报价单； 5.5提供原厂免费质量保证维保文件(质保期限与合同一致）。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货物成交人负责运输至项目地点。2.成交人负责所有设备的安装、调试；因安装、调试所产生的相关费用由成交人承担。3.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1.所投产品全套产品原厂质保≥1 年，质保期结束后免费延保≥2 年（提供原厂质保文件），全部软件终生免费升级。（易损件及耗材除外）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2.其他商务要求： 2.1配套耗材：提供配套使用耗材、易损备件报价。 2.2维修备件：提供质保期外维修备件厂家优惠报价表。 2.3维保服务：提供质保期外厂家维保服务方案及优惠报价表。 2.4提供原厂质量保证维保承诺书。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供应商截止响应文件递交截止时间之前未被“信用中国”网站列入失信被执行人、重大税收违法失信主体名单，未被“中国政府采购网”网站列入政府采购严重违法失信行为记录名单；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供应商为全部所投产品的生产厂商的，应按照现行医疗器械生产及销售的有关法律法规的规定，提供有效的医疗器械相应的医疗器械生产许可证。同时提供全部所投医疗器械的有效医疗器械注册证。 供应商投标医疗器械非全部为自身生产的，除提供上述材料外，需同时提供供应商合法有效的相应医疗器械经营许可证或医疗器械经营备案凭证；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报价是否超过竞争性磋商文件中规定的采购预算及最高限价的</w:t>
            </w:r>
          </w:p>
        </w:tc>
        <w:tc>
          <w:tcPr>
            <w:tcW w:type="dxa" w:w="3322"/>
          </w:tcPr>
          <w:p>
            <w:pPr>
              <w:pStyle w:val="null3"/>
            </w:pPr>
            <w:r>
              <w:rPr>
                <w:rFonts w:ascii="仿宋_GB2312" w:hAnsi="仿宋_GB2312" w:cs="仿宋_GB2312" w:eastAsia="仿宋_GB2312"/>
              </w:rPr>
              <w:t>报价未超过竞争性磋商文件中规定的采购预算及最高限价的。</w:t>
            </w:r>
          </w:p>
        </w:tc>
        <w:tc>
          <w:tcPr>
            <w:tcW w:type="dxa" w:w="1661"/>
          </w:tcPr>
          <w:p>
            <w:pPr>
              <w:pStyle w:val="null3"/>
            </w:pPr>
            <w:r>
              <w:rPr>
                <w:rFonts w:ascii="仿宋_GB2312" w:hAnsi="仿宋_GB2312" w:cs="仿宋_GB2312" w:eastAsia="仿宋_GB2312"/>
              </w:rPr>
              <w:t>响应函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响应函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响应文件是否响应“陕西省政府采购供货商拒绝政府采购领域商业贿赂承诺书”</w:t>
            </w:r>
          </w:p>
        </w:tc>
        <w:tc>
          <w:tcPr>
            <w:tcW w:type="dxa" w:w="3322"/>
          </w:tcPr>
          <w:p>
            <w:pPr>
              <w:pStyle w:val="null3"/>
            </w:pPr>
            <w:r>
              <w:rPr>
                <w:rFonts w:ascii="仿宋_GB2312" w:hAnsi="仿宋_GB2312" w:cs="仿宋_GB2312" w:eastAsia="仿宋_GB2312"/>
              </w:rPr>
              <w:t>响应文件响应“陕西省政府采购供货商拒绝政府采购领域商业贿赂承诺书”</w:t>
            </w:r>
          </w:p>
        </w:tc>
        <w:tc>
          <w:tcPr>
            <w:tcW w:type="dxa" w:w="1661"/>
          </w:tcPr>
          <w:p>
            <w:pPr>
              <w:pStyle w:val="null3"/>
            </w:pPr>
            <w:r>
              <w:rPr>
                <w:rFonts w:ascii="仿宋_GB2312" w:hAnsi="仿宋_GB2312" w:cs="仿宋_GB2312" w:eastAsia="仿宋_GB2312"/>
              </w:rPr>
              <w:t>参加政府采购承诺书.docx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授权代表社保缴纳证明材料</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同时提供响应文件递交截止时间前连续3个月的社保缴纳证明材料。</w:t>
            </w:r>
          </w:p>
        </w:tc>
        <w:tc>
          <w:tcPr>
            <w:tcW w:type="dxa" w:w="1661"/>
          </w:tcPr>
          <w:p>
            <w:pPr>
              <w:pStyle w:val="null3"/>
            </w:pPr>
            <w:r>
              <w:rPr>
                <w:rFonts w:ascii="仿宋_GB2312" w:hAnsi="仿宋_GB2312" w:cs="仿宋_GB2312" w:eastAsia="仿宋_GB2312"/>
              </w:rPr>
              <w:t>法定代表人证明书及授权书.docx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根据产品技术和性能响应情况进行评审，完全响应并满足参数需求的得30分，其中： 1.技术参数中标记“▲”项的参数需求为重要参数，共7项，每负偏离1项扣2分，扣完为止。 2.无标识数为一般参数，共65项，每负偏离1项扣0.25分，扣完为止。 注：相应的各参数指标均需提供佐证材料。佐证材料可以是产品技术说明书或产品彩页或使用说明书或有资质的第三方出具的检验报告或设备功能证明及截图等供应商认为可以佐证参数响应性的材料。供应商对材料的真实性、完整性、有效性及针对性承担责任，自行承担因材料提供不全导致技术参数被认定为具体参数不满足或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产品质量保证措施</w:t>
            </w:r>
          </w:p>
        </w:tc>
        <w:tc>
          <w:tcPr>
            <w:tcW w:type="dxa" w:w="2492"/>
          </w:tcPr>
          <w:p>
            <w:pPr>
              <w:pStyle w:val="null3"/>
            </w:pPr>
            <w:r>
              <w:rPr>
                <w:rFonts w:ascii="仿宋_GB2312" w:hAnsi="仿宋_GB2312" w:cs="仿宋_GB2312" w:eastAsia="仿宋_GB2312"/>
              </w:rPr>
              <w:t>供应商提供的产品质量保证措施方案需包含①产品性能、设备选型的基本情况及产品综合性能、使用寿命及效果说明；②产品生产的质量保证措施及产品供货及运输质量保证措施；③产品安装及调试质量保证措施；④产品培训质量保证措施，共4项内容，每项满分3分，总分12分。 其中，每项以具体内容与本项目及所投产品的针对性、可行性、方案完善性作为采分点；每个采分点按照1分、0.8分、0.5分、0.3分、0.1分、0分作为具体赋分分值,完全符合采分点要求的得1分，存在个别瑕疵但是符合采分点要素的得 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供应商承诺所投产品进货渠道正规，无假货、水货、翻新货且无产权纠纷得1分。 备注:供应商需提供加盖公章的承诺书，格式自拟。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供应商提供的产品组织保证措施方案需包含①组织机构方案及管理制度方案；②项目实施团队人员情况，共2项内容，每项满分3分，总分6分。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供应商提供的进度保证措施方案需包含供货、安装调试及培训进度保证措施，共1项内容，每项满分3分，总分3分。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售后保障措施</w:t>
            </w:r>
          </w:p>
        </w:tc>
        <w:tc>
          <w:tcPr>
            <w:tcW w:type="dxa" w:w="2492"/>
          </w:tcPr>
          <w:p>
            <w:pPr>
              <w:pStyle w:val="null3"/>
            </w:pPr>
            <w:r>
              <w:rPr>
                <w:rFonts w:ascii="仿宋_GB2312" w:hAnsi="仿宋_GB2312" w:cs="仿宋_GB2312" w:eastAsia="仿宋_GB2312"/>
              </w:rPr>
              <w:t>供应商提供的售后保障措施方案需包含①售后服务机构人员配置方案；②保修期外至全寿命周期内零配件及备品备件供应方案，共2项内容，每项满分3分，总分6分。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应急事件响应及处理</w:t>
            </w:r>
          </w:p>
        </w:tc>
        <w:tc>
          <w:tcPr>
            <w:tcW w:type="dxa" w:w="2492"/>
          </w:tcPr>
          <w:p>
            <w:pPr>
              <w:pStyle w:val="null3"/>
            </w:pPr>
            <w:r>
              <w:rPr>
                <w:rFonts w:ascii="仿宋_GB2312" w:hAnsi="仿宋_GB2312" w:cs="仿宋_GB2312" w:eastAsia="仿宋_GB2312"/>
              </w:rPr>
              <w:t>供应商提供的应急事件响应及处理方案需包含①可能发生的应急事故情况分析；②应急响应时间及紧急安全保障措施，共2项内容，每项满分3分，总分6分。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提供2023年1月1日至今所投核心产品的业绩证明材料。每提供1份得1分，最高得6分。（以合同签订日期为准） 备注：需提供完整的业绩证明材料（内容需体现合同签订时间）未提供的不得分。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详见附件：参加政府采购承诺书.docx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