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870A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60" w:lineRule="auto"/>
        <w:jc w:val="center"/>
        <w:outlineLvl w:val="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shd w:val="clear" w:color="auto" w:fill="FFFFFF"/>
          <w:lang w:val="en-US" w:eastAsia="zh-CN" w:bidi="ar-SA"/>
        </w:rPr>
        <w:t>报价明细表</w:t>
      </w:r>
    </w:p>
    <w:tbl>
      <w:tblPr>
        <w:tblStyle w:val="3"/>
        <w:tblW w:w="87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196"/>
        <w:gridCol w:w="737"/>
        <w:gridCol w:w="1256"/>
        <w:gridCol w:w="1083"/>
        <w:gridCol w:w="617"/>
        <w:gridCol w:w="691"/>
        <w:gridCol w:w="930"/>
        <w:gridCol w:w="797"/>
        <w:gridCol w:w="796"/>
      </w:tblGrid>
      <w:tr w14:paraId="0528C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tblHeader/>
          <w:jc w:val="center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DF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268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B1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C1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  <w:t>生产厂家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CD2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left="41" w:hanging="148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  <w:t>规格型号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D94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-108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  <w:t>单位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8E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-49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  <w:t>数量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A41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-4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  <w:t>质保期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F48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-4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  <w:t>单价</w:t>
            </w:r>
          </w:p>
          <w:p w14:paraId="2EBC9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-4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  <w:t>（元）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AD1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-4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  <w:t>总价</w:t>
            </w:r>
          </w:p>
          <w:p w14:paraId="4B7492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-4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zh-CN"/>
              </w:rPr>
              <w:t>（元）</w:t>
            </w:r>
          </w:p>
        </w:tc>
      </w:tr>
      <w:tr w14:paraId="45BC3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02F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D3B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40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ED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D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0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D5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25F7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89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54E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89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B91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89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</w:tr>
      <w:tr w14:paraId="20DAE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FC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15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3D4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78A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FC2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CD4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535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7447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89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A67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89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BCC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89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</w:tr>
      <w:tr w14:paraId="7C762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75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A05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622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B42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B5A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3BC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23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5830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89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4BC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89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BEF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89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</w:p>
        </w:tc>
      </w:tr>
      <w:tr w14:paraId="1F383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3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DB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总价合计（元）</w:t>
            </w:r>
          </w:p>
          <w:p w14:paraId="411E6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（上述所有项的总价之和）</w:t>
            </w:r>
          </w:p>
        </w:tc>
        <w:tc>
          <w:tcPr>
            <w:tcW w:w="49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374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  <w:p w14:paraId="089A17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360" w:lineRule="auto"/>
              <w:ind w:right="893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小写：¥: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</w:p>
        </w:tc>
      </w:tr>
    </w:tbl>
    <w:p w14:paraId="651F9369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</w:p>
    <w:p w14:paraId="4A44A214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注：1.报价明细表中的总价合计金额应与《报价表》内响应报价一致，所有响应报价均含税，且用人民币表示，单位为元，精确到小数点后两位。</w:t>
      </w:r>
    </w:p>
    <w:p w14:paraId="417D748E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 xml:space="preserve"> 2.总价合计不得超出采购预算及最高限价，磋商文件对各类产品有最高限价规定的，也不得超过最高限价，否则其响应将被否决。</w:t>
      </w:r>
    </w:p>
    <w:p w14:paraId="0F8EAD2B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3.若不按照报价明细表提供将视为没有实质性响应磋商文件，按无效响应处理。</w:t>
      </w:r>
    </w:p>
    <w:p w14:paraId="79FCF2F2">
      <w:pPr>
        <w:pStyle w:val="2"/>
        <w:rPr>
          <w:rFonts w:hint="eastAsia"/>
          <w:highlight w:val="none"/>
          <w:lang w:val="en-US" w:eastAsia="zh-CN"/>
        </w:rPr>
      </w:pPr>
    </w:p>
    <w:p w14:paraId="4CBEA17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723" w:firstLineChars="300"/>
        <w:jc w:val="left"/>
        <w:rPr>
          <w:rFonts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 xml:space="preserve"> </w:t>
      </w:r>
      <w:r>
        <w:rPr>
          <w:rFonts w:ascii="宋体" w:hAnsi="宋体"/>
          <w:b/>
          <w:bCs/>
          <w:sz w:val="24"/>
          <w:szCs w:val="24"/>
          <w:highlight w:val="none"/>
        </w:rPr>
        <w:t xml:space="preserve">    </w:t>
      </w:r>
    </w:p>
    <w:p w14:paraId="2731DC01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CE6B95B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5E819B49">
      <w:pPr>
        <w:jc w:val="righ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0B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YANGLI</cp:lastModifiedBy>
  <dcterms:modified xsi:type="dcterms:W3CDTF">2026-01-19T03:01:15Z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eyJoZGlkIjoiNDdkZGUyN2M1NGEyODNmNWQzZjhkOTRiOGEwZjNkNWUiLCJ1c2VySWQiOiIxNzA1MDk4Mjg3In0=</vt:lpwstr>
  </property>
  <property fmtid="{D5CDD505-2E9C-101B-9397-08002B2CF9AE}" pid="4" name="ICV">
    <vt:lpwstr>5D73E0FD86354729B6773C2ECBF3D74B_12</vt:lpwstr>
  </property>
</Properties>
</file>