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版本号：DRZB2026-ZC-10420260120001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310国道（临潼、高陵段）和107省道（长安、鄠邑段)公路日常养护项目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DRZB2026-ZC-104</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310国道（临潼、高陵段）和107省道（长安、鄠邑段)公路日常养护项目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310国道（临潼、高陵段）和107省道（长安、鄠邑段)公路日常养护项目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310国道（临潼、高陵段）和107省道（长安、鄠邑段)普通公路日常养护巡查、保洁、小修保养等项目，310国道（临潼、高陵段）主要工作包括路基养护、路面养护、桥梁养护及维修、交通工程及沿线设施养护、绿化养护、日常巡查、突发事件处治等工作。107省道（长安、鄠邑段)主要工作包括对公路及其沿线设施经常性进行维护保养和修补其轻微损坏部分的作业，使之经常保持完好状态，保障行车安全、舒适、畅通。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采购包1（310国道（临潼、高陵段）和107省道（长安、鄠邑段)公路日常养护项目）：属于专门面向中小企业采购。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投标截止时间前六个月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4、社会保障资金缴存证明：提供投标截止时间前六个月内任意一个月已缴存的社会保障资金缴存单据或社保机构开具的社会保险参保缴费情况证明；依法不需要缴纳社会保障资金的应提供相关文件证明。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5、书面声明：提供具有履行本合同所必需的专业技术能力的声明。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7、法定代表人授权书：法定代表人直接参加投标的，须出具法人身份证明书及身份证；法定代表人授权代表参加投标的，须出具法定代表人授权书及授权代表身份证。</w:t>
      </w:r>
    </w:p>
    <w:p>
      <w:pPr>
        <w:pStyle w:val="null3"/>
      </w:pPr>
      <w:r>
        <w:rPr>
          <w:rFonts w:ascii="仿宋_GB2312" w:hAnsi="仿宋_GB2312" w:cs="仿宋_GB2312" w:eastAsia="仿宋_GB2312"/>
        </w:rPr>
        <w:t>8、资质证书：投标人具备交通运输管理部门核发的路基路面养护甲级及以上资质、桥梁养护甲级及以上资质和交通安全设施养护资质(须可以承担各等级公路交通安全设施的各类养护工程)且具备有效的安全生产许可证。</w:t>
      </w:r>
    </w:p>
    <w:p>
      <w:pPr>
        <w:pStyle w:val="null3"/>
      </w:pPr>
      <w:r>
        <w:rPr>
          <w:rFonts w:ascii="仿宋_GB2312" w:hAnsi="仿宋_GB2312" w:cs="仿宋_GB2312" w:eastAsia="仿宋_GB2312"/>
        </w:rPr>
        <w:t>9、项目负责人：拟派项目负责人具有公路工程专业二级及以上注册建造师证书和有效的安全生产考核合格证书，在本单位注册且无在建项目（提供无在建声明）。</w:t>
      </w:r>
    </w:p>
    <w:p>
      <w:pPr>
        <w:pStyle w:val="null3"/>
      </w:pPr>
      <w:r>
        <w:rPr>
          <w:rFonts w:ascii="仿宋_GB2312" w:hAnsi="仿宋_GB2312" w:cs="仿宋_GB2312" w:eastAsia="仿宋_GB2312"/>
        </w:rPr>
        <w:t>10、信用中国：投标人不得为信用中国网站(www.creditchina.gov.cn)“记录失信被执行人和重大税收违法案件当事人名单”记录名单；不得为中国政府采购网(www.ccgp.gov.cn)“政府采购严重违法失信行为信息记录”的单位。</w:t>
      </w:r>
    </w:p>
    <w:p>
      <w:pPr>
        <w:pStyle w:val="null3"/>
      </w:pPr>
      <w:r>
        <w:rPr>
          <w:rFonts w:ascii="仿宋_GB2312" w:hAnsi="仿宋_GB2312" w:cs="仿宋_GB2312" w:eastAsia="仿宋_GB2312"/>
        </w:rPr>
        <w:t>11、关联承诺：单位负责人为同一人或者存在直接控股、管理关系的不同投标人，不得同时参加本采购项目。为本项目提供整体设计、规范编制或者项目管理、监理、检测等服务的投标人，不得再参加本项目投标。</w:t>
      </w:r>
    </w:p>
    <w:p>
      <w:pPr>
        <w:pStyle w:val="null3"/>
      </w:pPr>
      <w:r>
        <w:rPr>
          <w:rFonts w:ascii="仿宋_GB2312" w:hAnsi="仿宋_GB2312" w:cs="仿宋_GB2312" w:eastAsia="仿宋_GB2312"/>
        </w:rPr>
        <w:t>12、中小企业声明函：本项目专门面向中小企业采购，投标人须提供中小企业声明函；</w:t>
      </w:r>
    </w:p>
    <w:p>
      <w:pPr>
        <w:pStyle w:val="null3"/>
      </w:pPr>
      <w:r>
        <w:rPr>
          <w:rFonts w:ascii="仿宋_GB2312" w:hAnsi="仿宋_GB2312" w:cs="仿宋_GB2312" w:eastAsia="仿宋_GB2312"/>
        </w:rPr>
        <w:t>13、非联合体声明：提供非联合体不分包投标声明。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祝小磊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韩钊、张海燕、赵璐、曹静、任红欠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参照“国家计委关于印发《招标代理服务收费管理暂行办法》的通知国家发改委文件计价格〔2002〕1980号、发改办价格〔2003〕857号及发改价格〔2015〕299号规定按照“服务类”项目的取费标准，单价招标以预算金额为基数计算，按照标准收取。招标代理服务费由成交供应商向采购代理机构支付。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及内容：所提供的服务进行验收。2、验收程序：中标单位应当严格按合同约定的内容提供服务。在中标单位履约结束后，验收工作小组按照职责分工对照政府采购合同中验收有关事项和标准核对每项验收事项，并按照验收方案及时组织验收。3、履约验收标准：单位成立验收小组，对本次项目进行验收，检验合格后验收小组成员签字。4、验收方式：由采购单位组织有关专业人员按相关的国家标准、质量标准和采购文件所列的各项要求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联系人：韩钊、张海燕、赵璐、曹静、任红欠</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310国道（临潼、高陵段）和107省道（长安、鄠邑段)普通公路日常养护巡查、保洁、小修保养等项目，310国道（临潼、高陵段）主要工作包括路基养护、路面养护、桥梁养护及维修、交通工程及沿线设施养护、绿化养护、日常巡查、突发事件处治等工作。107省道（长安、鄠邑段)主要工作包括对公路及其沿线设施经常性进行维护保养和修补其轻微损坏部分的作业，使之经常保持完好状态，保障行车安全、舒适、畅通。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C99000000 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标的名称：C99000000 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310国道（临潼、高陵段）和107省道（长安、鄠邑段)普通公路日常养护巡查、保洁、小修保养等项目，310国道（临潼、高陵段）主要工作包括路基养护、路面养护、桥梁养护及维修、交通工程及沿线设施养护、绿化养护、日常巡查、突发事件处治等工作。107省道（长安、鄠邑段)主要工作包括对公路及其沿线设施经常性进行维护保养和修补其轻微损坏部分的作业，使之经常保持完好状态，保障行车安全、舒适、畅通。</w:t>
            </w:r>
          </w:p>
          <w:p>
            <w:pPr>
              <w:pStyle w:val="null3"/>
            </w:pPr>
            <w:r>
              <w:rPr>
                <w:rFonts w:ascii="仿宋_GB2312" w:hAnsi="仿宋_GB2312" w:cs="仿宋_GB2312" w:eastAsia="仿宋_GB2312"/>
              </w:rPr>
              <w:t>路基养护：整修路肩、边坡、绿化平台，割除高草、清理堆积物，做到路肩表面平整坚实、整洁，线型顺适、路面接茬平顺；边坡稳定坚固、平顺无冲沟；浆砌边沟、排水沟等排水设施无损坏、无淤塞、无高草、无积水，保持排水畅通；挡墙、护坡等设施保持完好，坡面无杂草；使之经常保持良好的状态。</w:t>
            </w:r>
          </w:p>
          <w:p>
            <w:pPr>
              <w:pStyle w:val="null3"/>
            </w:pPr>
            <w:r>
              <w:rPr>
                <w:rFonts w:ascii="仿宋_GB2312" w:hAnsi="仿宋_GB2312" w:cs="仿宋_GB2312" w:eastAsia="仿宋_GB2312"/>
              </w:rPr>
              <w:t>路面养护：定期清扫路面，抛洒严重路段适当加大清扫频率，保证路面无泥块、砂石、抛撒物、堆积物、杂物及积水，定期对蒸发池进行清淤并对围栏及围栏上警示标志检查维修，对路面及路侧灰带及时治理，确保干净无扬尘等，对道路倾倒物及时警示并清理，确保道路安全畅通，交通事故现场清洁，小面积油污处理，以及有关废弃物的处理工作；并及时清扫、清运养护路段垃圾杂物倾倒至指定位置，严禁堆放在边沟、绿化平台内；及时采取养护措施处理影响行车的坑槽、翻浆、拥包等路面病害。</w:t>
            </w:r>
          </w:p>
          <w:p>
            <w:pPr>
              <w:pStyle w:val="null3"/>
            </w:pPr>
            <w:r>
              <w:rPr>
                <w:rFonts w:ascii="仿宋_GB2312" w:hAnsi="仿宋_GB2312" w:cs="仿宋_GB2312" w:eastAsia="仿宋_GB2312"/>
              </w:rPr>
              <w:t>桥涵养护：对桥梁重点部位进行定期巡查，桥梁支座保养，保持桥面整洁无杂物，伸缩缝、泄水孔无堵塞、卡死，桥头两侧、桥台锥坡、台（墩)帽无垃圾杂物(草)，桥下空间无垃圾、杂物。桥墩柱、底系梁周边完好无冲刷。当天清理的垃圾杂物当天运走。加强涵洞巡查，及时清除进出口垃圾杂物(草)，保持无淤塞，排水畅通，涵洞完好。交通安防工程及沿线设施、标志养护：及时清洗、扶正、修复，及时清除周围的杂草杂物树枝。安全设施缺损时应及时设置警示牌，在警示的同时，加强巡视检查，按时限要求进行修复或更换。</w:t>
            </w:r>
          </w:p>
          <w:p>
            <w:pPr>
              <w:pStyle w:val="null3"/>
            </w:pPr>
            <w:r>
              <w:rPr>
                <w:rFonts w:ascii="仿宋_GB2312" w:hAnsi="仿宋_GB2312" w:cs="仿宋_GB2312" w:eastAsia="仿宋_GB2312"/>
              </w:rPr>
              <w:t>绿化养护：包含中央分隔带及沿线的灌乔木和花草等绿化工程的保养，主要工作为浇灌、修剪、除虫、除杂草，乔木的支撑和扶正、补植、死枯绿植的拔除。</w:t>
            </w:r>
          </w:p>
          <w:p>
            <w:pPr>
              <w:pStyle w:val="null3"/>
            </w:pPr>
            <w:r>
              <w:rPr>
                <w:rFonts w:ascii="仿宋_GB2312" w:hAnsi="仿宋_GB2312" w:cs="仿宋_GB2312" w:eastAsia="仿宋_GB2312"/>
              </w:rPr>
              <w:t>日常巡查：日常巡查频次应符合公路养护技术标准(JTG5110-2023)</w:t>
            </w:r>
          </w:p>
          <w:p>
            <w:pPr>
              <w:pStyle w:val="null3"/>
            </w:pPr>
            <w:r>
              <w:rPr>
                <w:rFonts w:ascii="仿宋_GB2312" w:hAnsi="仿宋_GB2312" w:cs="仿宋_GB2312" w:eastAsia="仿宋_GB2312"/>
              </w:rPr>
              <w:t>日间巡查：路基、路面、桥面系、隧道土建结构及其他工程设施、交通安全设施、机电设施、绿化与环境保护设施等是否完好整洁、使用正常，是否存在影响安全的病害、缺损及其他异常情况，路侧是否存在遮挡标志和安全视距的植物和设施等。</w:t>
            </w:r>
          </w:p>
          <w:p>
            <w:pPr>
              <w:pStyle w:val="null3"/>
            </w:pPr>
            <w:r>
              <w:rPr>
                <w:rFonts w:ascii="仿宋_GB2312" w:hAnsi="仿宋_GB2312" w:cs="仿宋_GB2312" w:eastAsia="仿宋_GB2312"/>
              </w:rPr>
              <w:t>夜间巡查：标志、标线和轮廓标等的夜间视认性是否满足使用要求。</w:t>
            </w:r>
          </w:p>
          <w:p>
            <w:pPr>
              <w:pStyle w:val="null3"/>
            </w:pPr>
            <w:r>
              <w:rPr>
                <w:rFonts w:ascii="仿宋_GB2312" w:hAnsi="仿宋_GB2312" w:cs="仿宋_GB2312" w:eastAsia="仿宋_GB2312"/>
              </w:rPr>
              <w:t>隐患排查及整治：应按照省市工作要求，及时开展隐患排查工作，如发现隐患问题属于日常养护及小修保养范围内的应及时处理，范围外应做好安全保障措施，并及时上报。</w:t>
            </w:r>
          </w:p>
          <w:p>
            <w:pPr>
              <w:pStyle w:val="null3"/>
            </w:pPr>
            <w:r>
              <w:rPr>
                <w:rFonts w:ascii="仿宋_GB2312" w:hAnsi="仿宋_GB2312" w:cs="仿宋_GB2312" w:eastAsia="仿宋_GB2312"/>
              </w:rPr>
              <w:t>安全生产：贯彻执行国家和政府、行业主管部门颁布实施的有关安全生产的法律法规及各项规定，严格按安全标准组织施工。上路作业要穿标志服、标志帽、作业携带设置安全锥形桶等安全警示标志并按作业规范摆放，桥下巡查作业戴安全帽，养护作业要规范化；同时，保证作业单位驻地安全，将一切不安全因素消灭在萌芽状态；上述如发生不安全事故，责任自负。养护作业过程中，如大风、雨雪等造成的安全责任及养护过程中其他所有的安全责任均由养护作业单位负责。</w:t>
            </w:r>
          </w:p>
          <w:p>
            <w:pPr>
              <w:pStyle w:val="null3"/>
            </w:pPr>
            <w:r>
              <w:rPr>
                <w:rFonts w:ascii="仿宋_GB2312" w:hAnsi="仿宋_GB2312" w:cs="仿宋_GB2312" w:eastAsia="仿宋_GB2312"/>
              </w:rPr>
              <w:t>资料归整：按照省市公路行业内业资料的管理要求，做好各类养护资料的整理与收集。</w:t>
            </w:r>
          </w:p>
          <w:p>
            <w:pPr>
              <w:pStyle w:val="null3"/>
            </w:pPr>
            <w:r>
              <w:rPr>
                <w:rFonts w:ascii="仿宋_GB2312" w:hAnsi="仿宋_GB2312" w:cs="仿宋_GB2312" w:eastAsia="仿宋_GB2312"/>
              </w:rPr>
              <w:t>二、工程量清单（另附）</w:t>
            </w:r>
          </w:p>
          <w:p>
            <w:pPr>
              <w:pStyle w:val="null3"/>
            </w:pPr>
            <w:r>
              <w:rPr>
                <w:rFonts w:ascii="仿宋_GB2312" w:hAnsi="仿宋_GB2312" w:cs="仿宋_GB2312" w:eastAsia="仿宋_GB2312"/>
              </w:rPr>
              <w:t>三、施工要求</w:t>
            </w:r>
          </w:p>
          <w:p>
            <w:pPr>
              <w:pStyle w:val="null3"/>
            </w:pPr>
            <w:r>
              <w:rPr>
                <w:rFonts w:ascii="仿宋_GB2312" w:hAnsi="仿宋_GB2312" w:cs="仿宋_GB2312" w:eastAsia="仿宋_GB2312"/>
              </w:rPr>
              <w:t>1、所有材料、设备的质量标准均须达到国家相关标准。所有材料、设备环保标准须达到国家相关的环保指标；2、所有进场材料、设备须进行报验并出具关的质检证明和环保证明，重要材料按合同要求进行现场抽检，费用由投标人负责；3、禁止“三无”产品进场、使用；4、所有材料进场前须由施工单位提供材料样品，采购人负责对材料样品的质量、规格等进行确认，双方对确认的材料进行封样，以供双方验收。5、技术规范：（详见公路工程标准施工招标文件 2018 年版·第二册）。</w:t>
            </w:r>
          </w:p>
          <w:p>
            <w:pPr>
              <w:pStyle w:val="null3"/>
            </w:pPr>
            <w:r>
              <w:rPr>
                <w:rFonts w:ascii="仿宋_GB2312" w:hAnsi="仿宋_GB2312" w:cs="仿宋_GB2312" w:eastAsia="仿宋_GB2312"/>
              </w:rPr>
              <w:t>四、投标报价</w:t>
            </w:r>
          </w:p>
          <w:p>
            <w:pPr>
              <w:pStyle w:val="null3"/>
            </w:pPr>
            <w:r>
              <w:rPr>
                <w:rFonts w:ascii="仿宋_GB2312" w:hAnsi="仿宋_GB2312" w:cs="仿宋_GB2312" w:eastAsia="仿宋_GB2312"/>
              </w:rPr>
              <w:t>投标人不允许超出采购人所给的各个单项的最高限价，合计金额不得超过最高限价，否则按无效投标处理。</w:t>
            </w:r>
          </w:p>
          <w:p>
            <w:pPr>
              <w:pStyle w:val="null3"/>
            </w:pPr>
            <w:r>
              <w:rPr>
                <w:rFonts w:ascii="仿宋_GB2312" w:hAnsi="仿宋_GB2312" w:cs="仿宋_GB2312" w:eastAsia="仿宋_GB2312"/>
              </w:rPr>
              <w:t>五、最高限价：129769.74元</w:t>
            </w:r>
          </w:p>
          <w:p>
            <w:pPr>
              <w:pStyle w:val="null3"/>
            </w:pPr>
            <w:r>
              <w:rPr>
                <w:rFonts w:ascii="仿宋_GB2312" w:hAnsi="仿宋_GB2312" w:cs="仿宋_GB2312" w:eastAsia="仿宋_GB2312"/>
              </w:rPr>
              <w:t>六、项目验收</w:t>
            </w:r>
          </w:p>
          <w:p>
            <w:pPr>
              <w:pStyle w:val="null3"/>
            </w:pPr>
            <w:r>
              <w:rPr>
                <w:rFonts w:ascii="仿宋_GB2312" w:hAnsi="仿宋_GB2312" w:cs="仿宋_GB2312" w:eastAsia="仿宋_GB2312"/>
              </w:rPr>
              <w:t>1、履约验收主体及内容：所提供的服务进行验收。2、验收程序：供应商应当严格按合同约定的内容提供服务。在供应商履约结束后，验收工作小组按照职责分工对照政府采购合同中验收有关事项和标准核对每项验收事项，并按照验收方案及时组织验收。3、履约验收标准：单位成立验收小组，对本次项目进行验收，检验合格后验收小组成员签字。4、验收方式：由采购单位组织有关专业人员按相关的国家标准、质量标准和采购文件所列的各项要求进行验收。</w:t>
            </w:r>
          </w:p>
          <w:p>
            <w:pPr>
              <w:pStyle w:val="null3"/>
            </w:pPr>
            <w:r>
              <w:rPr>
                <w:rFonts w:ascii="仿宋_GB2312" w:hAnsi="仿宋_GB2312" w:cs="仿宋_GB2312" w:eastAsia="仿宋_GB2312"/>
              </w:rPr>
              <w:t>七、违约责任：</w:t>
            </w:r>
          </w:p>
          <w:p>
            <w:pPr>
              <w:pStyle w:val="null3"/>
            </w:pPr>
            <w:r>
              <w:rPr>
                <w:rFonts w:ascii="仿宋_GB2312" w:hAnsi="仿宋_GB2312" w:cs="仿宋_GB2312" w:eastAsia="仿宋_GB2312"/>
              </w:rPr>
              <w:t>1、本合同生效后，甲、乙双方当事人均应履行本合同所约定的义务。任何一方不履行或不完全履行本合同所约定义务的，应当依法承担违约责任。2、乙方未按约定履行（含逾期履行）或履行未通过甲方验收的，每违约一次应当按照合同总价款的5%向甲方支付违约金，且甲方有权单方解除合同。3、乙方不得将本合同转包、分包给第三方，否则乙方应按合同总金额的20%向甲方支付违约金，且甲方有权单方解除合同。4、乙方未按时整改，甲方有权聘请第三方进行整改，由此产生的费用由乙方自行承担，给甲方造成损失的，乙方仍应赔偿。5、乙方未按约履行义务，甲方有权聘请第三方进行养护，由此产生的费用由乙方自行承担，给甲方造成损失的，乙方仍应赔偿。6、由乙方合同履行过程中造成的一切损失或安全事故责任均由乙方自负，因乙方管理不善造成的植物死亡和状态不佳的，则由乙方承担相应植物的更换费用和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及内容：所提供的服务进行验收。2、验收程序：中标单位应当严格按合同约定的内容提供服务。在中标单位履约结束后，验收工作小组按照职责分工对照政府采购合同中验收有关事项和标准核对每项验收事项，并按照验收方案及时组织验收。3、履约验收标准：单位成立验收小组，对本次项目进行验收，检验合格后验收小组成员签字。4、验收方式：由采购单位组织有关专业人员按相关的国家标准、质量标准和采购文件所列的各项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合同签订后，2026年根据完成项目清单情况据实结算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2026年底前，根据完成项目清单情况据实结算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2027年根据完成项目清单情况据实结算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2027年底前，根据完成项目清单情况据实结算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13.33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2028年根据完成项目清单情况据实结算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2028年底前，根据完成项目清单情况据实结算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13.34</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1、本合同生效后，甲、乙双方当事人均应履行本合同所约定的义务。任何一方不履行或不完全履行本合同所约定义务的，应当依法承担违约责任。 2、乙方未按约定履行（含逾期履行）或履行未通过甲方验收的，每违约一次应当按照合同总价款的5%向甲方支付违约金，且甲方有权单方解除合同。3、乙方不得将本合同转包、分包给第三方，否则乙方应按合同总金额的20%向甲方支付违约金，且甲方有权单方解除合同。4、乙方未按时整改，甲方有权聘请第三方进行整改，由此产生的费用由乙方自行承担，给甲方造成损失的，乙方仍应赔偿。5、乙方未按约履行义务，甲方有权聘请第三方进行养护，由此产生的费用由乙方自行承担，给甲方造成损失的，乙方仍应赔偿。6、由乙方合同履行过程中造成的一切损失或安全事故责任均由乙方自负，因乙方管理不善造成的植物死亡和状态不佳的，则由乙方承担相应植物的更换费用和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本项目政府采购工作，投标人须在陕西省政府采购电子化交易平台上传电子版投标文件并完成签章、加密，同时，线下递交纸质版投标文件正本一份。若电子版投标文件与纸质版投标文件不一致的，以陕西省政府采购电子化交易平台上传的电子版投标文件为准。纸质版投标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提供投标截止时间前六个月内任意一个月已缴存的社会保障资金缴存单据或社保机构开具的社会保险参保缴费情况证明；依法不需要缴纳社会保障资金的应提供相关文件证明。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法定代表人直接参加投标的，须出具法人身份证明书及身份证；法定代表人授权代表参加投标的，须出具法定代表人授权书及授权代表身份证。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投标人具备交通运输管理部门核发的路基路面养护甲级及以上资质、桥梁养护甲级及以上资质和交通安全设施养护资质(须可以承担各等级公路交通安全设施的各类养护工程)且具备有效的安全生产许可证。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拟派项目负责人具有公路工程专业二级及以上注册建造师证书和有效的安全生产考核合格证书，在本单位注册且无在建项目（提供无在建声明）。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投标人不得为信用中国网站(www.creditchina.gov.cn)“记录失信被执行人和重大税收违法案件当事人名单”记录名单；不得为中国政府采购网(www.ccgp.gov.cn)“政府采购严重违法失信行为信息记录”的单位。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单位负责人为同一人或者存在直接控股、管理关系的不同投标人，不得同时参加本采购项目。为本项目提供整体设计、规范编制或者项目管理、监理、检测等服务的投标人，不得再参加本项目投标。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报价一览表.docx 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5机械配备和材料供应计划.docx 报价一览表.docx 投标人认为有必要说明的其他资料.docx 已标价工程量清单.docx 6团队人员配备方案.docx 中小企业声明函 资格证明文件.docx 服务偏离表.docx 10类似业绩.docx 1日常道路养护方案.docx 4质量保证措施.docx 3日常巡查维护方案.docx 投标函 残疾人福利性单位声明函 2维修养护方案.docx 9服务承诺.docx 8突发情况处理方案及合理化建议.docx 标的清单 7文明施工措施.docx 投标文件封面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已标价工程量清单.docx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5机械配备和材料供应计划.docx 报价一览表.docx 投标人认为有必要说明的其他资料.docx 已标价工程量清单.docx 6团队人员配备方案.docx 中小企业声明函 资格证明文件.docx 服务偏离表.docx 10类似业绩.docx 1日常道路养护方案.docx 4质量保证措施.docx 3日常巡查维护方案.docx 投标函 残疾人福利性单位声明函 2维修养护方案.docx 9服务承诺.docx 8突发情况处理方案及合理化建议.docx 标的清单 7文明施工措施.docx 投标文件封面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招标文件商务条款</w:t>
            </w:r>
          </w:p>
        </w:tc>
        <w:tc>
          <w:tcPr>
            <w:tcW w:type="dxa" w:w="3322"/>
          </w:tcPr>
          <w:p>
            <w:pPr>
              <w:pStyle w:val="null3"/>
            </w:pPr>
            <w:r>
              <w:rPr>
                <w:rFonts w:ascii="仿宋_GB2312" w:hAnsi="仿宋_GB2312" w:cs="仿宋_GB2312" w:eastAsia="仿宋_GB2312"/>
              </w:rPr>
              <w:t>响应招标文件商务条款，无重大保留或偏差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5机械配备和材料供应计划.docx 报价一览表.docx 投标人认为有必要说明的其他资料.docx 已标价工程量清单.docx 6团队人员配备方案.docx 中小企业声明函 资格证明文件.docx 服务偏离表.docx 10类似业绩.docx 1日常道路养护方案.docx 4质量保证措施.docx 3日常巡查维护方案.docx 投标函 残疾人福利性单位声明函 2维修养护方案.docx 9服务承诺.docx 8突发情况处理方案及合理化建议.docx 标的清单 7文明施工措施.docx 投标文件封面 商务偏离表.docx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日常道路养护方案</w:t>
            </w:r>
          </w:p>
        </w:tc>
        <w:tc>
          <w:tcPr>
            <w:tcW w:type="dxa" w:w="2492"/>
          </w:tcPr>
          <w:p>
            <w:pPr>
              <w:pStyle w:val="null3"/>
            </w:pPr>
            <w:r>
              <w:rPr>
                <w:rFonts w:ascii="仿宋_GB2312" w:hAnsi="仿宋_GB2312" w:cs="仿宋_GB2312" w:eastAsia="仿宋_GB2312"/>
              </w:rPr>
              <w:t>一、评审内容 针对本项目提供对项目的日常道路养护方案，包括但不限于①道路路面清扫保洁；②路基、标识标牌、护栏等保洁、管理、维护；③沿线杂草清除及绿化带修剪。 二、评审标准 1、完整性：方案须全面，对评审内容中的各项要求有详细描述。 2、可实施性：切合本项目实际情况，实施步骤清晰、合理。 3、针对性：方案能够紧扣项目实际情况，内容科学合理。 三、赋分依据（满分9分） ①道路路面清扫保洁：每完全满足一个评审标准得1分，满分3分。 ②路基、标识标牌、护栏等保洁、管理、维护：每完全满足一个评审标准得1分，满分3分。 ③沿线杂草清除及绿化带修剪:每完全满足一个评审标准得1分，满分3分。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1日常道路养护方案.docx</w:t>
            </w:r>
          </w:p>
        </w:tc>
      </w:tr>
      <w:tr>
        <w:tc>
          <w:tcPr>
            <w:tcW w:type="dxa" w:w="831"/>
            <w:vMerge/>
          </w:tcP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一、评审内容 针对本项目提供维修养护方案，包括但不限于①路基维修养护；②路面维修养护；③桥梁维修养护；④沿线设施等维修养护等方面。 二、评审标准 1、完整性：方案须全面，对评审内容中的各项要求有详细描述。 2、可实施性：切合本项目实际情况，实施步骤清晰、合理。 3、针对性：方案能够紧扣项目实际情况，内容科学合理。 三、赋分依据（满分12分） ①路基维修养护：每完全满足一个评审标准得1分，满分3分。 ②路面维修养护：每完全满足一个评审标准得1分，满分3分。 ③桥梁维修养护：每完全满足一个评审标准得1分，满分3分。 ④沿线设施等维修养护等方面：每完全满足一个评审标准得1分，满分3分。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2维修养护方案.docx</w:t>
            </w:r>
          </w:p>
        </w:tc>
      </w:tr>
      <w:tr>
        <w:tc>
          <w:tcPr>
            <w:tcW w:type="dxa" w:w="831"/>
            <w:vMerge/>
          </w:tcPr>
          <w:p/>
        </w:tc>
        <w:tc>
          <w:tcPr>
            <w:tcW w:type="dxa" w:w="1661"/>
          </w:tcPr>
          <w:p>
            <w:pPr>
              <w:pStyle w:val="null3"/>
            </w:pPr>
            <w:r>
              <w:rPr>
                <w:rFonts w:ascii="仿宋_GB2312" w:hAnsi="仿宋_GB2312" w:cs="仿宋_GB2312" w:eastAsia="仿宋_GB2312"/>
              </w:rPr>
              <w:t>日常巡查维护方案</w:t>
            </w:r>
          </w:p>
        </w:tc>
        <w:tc>
          <w:tcPr>
            <w:tcW w:type="dxa" w:w="2492"/>
          </w:tcPr>
          <w:p>
            <w:pPr>
              <w:pStyle w:val="null3"/>
            </w:pPr>
            <w:r>
              <w:rPr>
                <w:rFonts w:ascii="仿宋_GB2312" w:hAnsi="仿宋_GB2312" w:cs="仿宋_GB2312" w:eastAsia="仿宋_GB2312"/>
              </w:rPr>
              <w:t>一、评审内容 针对本项目提供日常巡查维护方案，包括但不限于①路基坍塌、冲刷；②路面标志、标线、轮廓标、坑槽、裂缝、积水、结冰、障碍物等；③桥梁、涵洞的水毁及排水系统；④沿线交通设施的完好状况；⑤绿化的病虫害、管养情况等方面。 二、评审标准 1、完整性：方案须全面，对评审内容中的各项要求有详细描述。 2、可实施性：切合本项目实际情况，实施步骤清晰、合理。 3、针对性：方案能够紧扣项目实际情况，内容科学合理。 三、赋分依据（满分15分） ①路基坍塌、冲刷：每完全满足一个评审标准得1分，满分3分。 ②路面标志、标线、轮廓标、坑槽、裂缝、积水、结冰、障碍物等：每完全满足一个评审标准得1分，满分3分。 ③桥梁、涵洞的水毁及排水系统：每完全满足一个评审标准得1分，满分3分。 ④沿线交通设施的完好状况：每完全满足一个评审标准得1分，满分3分。 ⑤绿化的病虫害、管养情况等方面：每完全满足一个评审标准得1分，满分3分。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3日常巡查维护方案.docx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针对本项目提供质量保证措施，包括但不限于①质量保障方案；②工程质量控制体系；③材料和构配件的质量控制等；④施工检测及工序交验方案。 二、评审标准 1、完整性：方案须全面，对评审内容中的各项要求有详细描述。 2、可实施性：切合本项目实际情况，实施步骤清晰、合理。 3、针对性：方案能够紧扣项目实际情况，内容科学合理。 三、赋分依据（满分12分） ①质量保障方案：每完全满足一个评审标准得1分，满分3分。 ②工程质量控制体系：每完全满足一个评审标准得1分，满分3分。 ③材料和构配件的质量控制等：每完全满足一个评审标准得1分，满分3分。 ④施工检测及工序交验方案：每完全满足一个评审标准得1分，满分3分。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4质量保证措施.docx</w:t>
            </w:r>
          </w:p>
        </w:tc>
      </w:tr>
      <w:tr>
        <w:tc>
          <w:tcPr>
            <w:tcW w:type="dxa" w:w="831"/>
            <w:vMerge/>
          </w:tcPr>
          <w:p/>
        </w:tc>
        <w:tc>
          <w:tcPr>
            <w:tcW w:type="dxa" w:w="1661"/>
          </w:tcPr>
          <w:p>
            <w:pPr>
              <w:pStyle w:val="null3"/>
            </w:pPr>
            <w:r>
              <w:rPr>
                <w:rFonts w:ascii="仿宋_GB2312" w:hAnsi="仿宋_GB2312" w:cs="仿宋_GB2312" w:eastAsia="仿宋_GB2312"/>
              </w:rPr>
              <w:t>机械配备和材料供应计划</w:t>
            </w:r>
          </w:p>
        </w:tc>
        <w:tc>
          <w:tcPr>
            <w:tcW w:type="dxa" w:w="2492"/>
          </w:tcPr>
          <w:p>
            <w:pPr>
              <w:pStyle w:val="null3"/>
            </w:pPr>
            <w:r>
              <w:rPr>
                <w:rFonts w:ascii="仿宋_GB2312" w:hAnsi="仿宋_GB2312" w:cs="仿宋_GB2312" w:eastAsia="仿宋_GB2312"/>
              </w:rPr>
              <w:t>一、评审内容 针对本项目提供机械配备和材料供应计划，包括但不限于：①机械配备；②材料供应计划。 二、评审标准 1、完整性：方案须全面，对评审内容中的各项要求有详细描述。 2、可实施性：切合本项目实际情况，实施步骤清晰、合理。 3、针对性：方案能够紧扣项目实际情况，内容科学合理。 三、赋分依据（满分6分） ①机械配备：每完全满足一个评审标准得1分，满分3分。 ②材料供应计划：每完全满足一个评审标准得1分，满分3分。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5机械配备和材料供应计划.docx</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一、评审内容 针对本项目采购需求中的人员要求提供团队人员配备方案，包括但不限于 ①团队组织架构；②人员构成及分工；③岗位设置及岗位责任制度。注：须提供项目团队人员名单（包括姓名、工作职责、联系方式等），否则不得分。 二、评审标准 1、完整性：方案须全面，对评审内容中的各项要求有详细描述。 2、可实施性：切合本项目实际情况，实施步骤清晰、合理。 3、针对性：方案能够紧扣项目实际情况，内容科学合理。 三、赋分依据（满分9分） ①团队组织架构：每完全满足一个评审标准得1分，满分3分。 ②人员构成及分工：每完全满足一个评审标准得1分，满分3分。 ③岗位设置及岗位责任制度：每完全满足一个评审标准得1分，满分3分。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6团队人员配备方案.docx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针对本项目提供文明施工措施，包括但不限于①安全及文明组织实施方案；②包括但不限于道路养护安全制度培训； 二、评审标准 1、完整性：方案须全面，对评审内容中的各项要求有详细描述。 2、可实施性：切合本项目实际情况，实施步骤清晰、合理。 3、针对性：方案能够紧扣项目实际情况，内容科学合理。 三、赋分依据（满分6分） ①安全及文明组织实施方案：每完全满足一个评审标准得1分，满分3分。 ②包括但不限于道路养护安全制度培训：每完全满足一个评审标准得1分，满分3分。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7文明施工措施.docx</w:t>
            </w:r>
          </w:p>
        </w:tc>
      </w:tr>
      <w:tr>
        <w:tc>
          <w:tcPr>
            <w:tcW w:type="dxa" w:w="831"/>
            <w:vMerge/>
          </w:tcPr>
          <w:p/>
        </w:tc>
        <w:tc>
          <w:tcPr>
            <w:tcW w:type="dxa" w:w="1661"/>
          </w:tcPr>
          <w:p>
            <w:pPr>
              <w:pStyle w:val="null3"/>
            </w:pPr>
            <w:r>
              <w:rPr>
                <w:rFonts w:ascii="仿宋_GB2312" w:hAnsi="仿宋_GB2312" w:cs="仿宋_GB2312" w:eastAsia="仿宋_GB2312"/>
              </w:rPr>
              <w:t>突发情况处理方案及合理化建议</w:t>
            </w:r>
          </w:p>
        </w:tc>
        <w:tc>
          <w:tcPr>
            <w:tcW w:type="dxa" w:w="2492"/>
          </w:tcPr>
          <w:p>
            <w:pPr>
              <w:pStyle w:val="null3"/>
            </w:pPr>
            <w:r>
              <w:rPr>
                <w:rFonts w:ascii="仿宋_GB2312" w:hAnsi="仿宋_GB2312" w:cs="仿宋_GB2312" w:eastAsia="仿宋_GB2312"/>
              </w:rPr>
              <w:t>一、评审内容 针对本项目提供突发情况处理方案及合理化建议，包括但不限于：①应对突发情况或临时任务时的保障服务；②突发情况的处理措施；③合理化建议。 二、评审标准 1、完整性：方案须全面，对评审内容中的各项要求有详细描述； 2、可实施性：切合本项目实际情况，实施步骤清晰、合理； 3、针对性：方案能够紧扣项目实际情况，内容科学合理。 三、赋分依据（满分9分） ①应对突发情况或临时任务时的保障服务：每完全满足一个评审标准得1分，满分3分； ②突发情况的处理措施：每完全满足一个评审标准得1分，满分3分； ③合理化建议：每完全满足一个评审标准得1分，满分3分。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8突发情况处理方案及合理化建议.docx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包括但不限于：①对服务内容满足采购人相关标准，针对服务的一致性、稳定性等内容做出承诺；②对配合采购人重大活动、突发及应急情况处理、其他任务及情况的处理的专项承诺；③对采购人在监督巡查过程中发现得问题，有现场解决沟通，能及时给出专业反馈的承诺。 二、评审标准 1、完整性：方案须全面，对评审内容中的各项要求有详细描述。 2、可实施性：切合本项目实际情况，实施步骤清晰、合理。 3、针对性：方案能够紧扣项目实际情况，内容科学合理。 三、赋分依据（满分9分） ①对服务内容满足采购人相关标准，针对服务的一致性、稳定性等内容做出承诺：每完全满足一个评审标准得1分，满分3分。 ②对配合采购人重大活动、突发及应急情况处理、其他任务及情况的处理的专项承诺：每完全满足一个评审标准得1分，满分3分。 ③对采购人在监督巡查过程中发现得问题，有现场解决沟通，能及时给出专业反馈的承诺：每完全满足一个评审标准得1分，满分3分。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提供2023年1月1日以来道路养护类项目业绩，每提供一个得1分，满分3分。注：以合同签订日期为准，提供合同复印件（包括首页、签字盖章页、主要工作内容、金额等，金额不得涂抹）加盖公章。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详见附件：1日常道路养护方案.docx</w:t>
      </w:r>
    </w:p>
    <w:p>
      <w:pPr>
        <w:pStyle w:val="null3"/>
        <w:ind w:firstLine="960"/>
      </w:pPr>
      <w:r>
        <w:rPr>
          <w:rFonts w:ascii="仿宋_GB2312" w:hAnsi="仿宋_GB2312" w:cs="仿宋_GB2312" w:eastAsia="仿宋_GB2312"/>
        </w:rPr>
        <w:t>详见附件：2维修养护方案.docx</w:t>
      </w:r>
    </w:p>
    <w:p>
      <w:pPr>
        <w:pStyle w:val="null3"/>
        <w:ind w:firstLine="960"/>
      </w:pPr>
      <w:r>
        <w:rPr>
          <w:rFonts w:ascii="仿宋_GB2312" w:hAnsi="仿宋_GB2312" w:cs="仿宋_GB2312" w:eastAsia="仿宋_GB2312"/>
        </w:rPr>
        <w:t>详见附件：3日常巡查维护方案.docx</w:t>
      </w:r>
    </w:p>
    <w:p>
      <w:pPr>
        <w:pStyle w:val="null3"/>
        <w:ind w:firstLine="960"/>
      </w:pPr>
      <w:r>
        <w:rPr>
          <w:rFonts w:ascii="仿宋_GB2312" w:hAnsi="仿宋_GB2312" w:cs="仿宋_GB2312" w:eastAsia="仿宋_GB2312"/>
        </w:rPr>
        <w:t>详见附件：4质量保证措施.docx</w:t>
      </w:r>
    </w:p>
    <w:p>
      <w:pPr>
        <w:pStyle w:val="null3"/>
        <w:ind w:firstLine="960"/>
      </w:pPr>
      <w:r>
        <w:rPr>
          <w:rFonts w:ascii="仿宋_GB2312" w:hAnsi="仿宋_GB2312" w:cs="仿宋_GB2312" w:eastAsia="仿宋_GB2312"/>
        </w:rPr>
        <w:t>详见附件：5机械配备和材料供应计划.docx</w:t>
      </w:r>
    </w:p>
    <w:p>
      <w:pPr>
        <w:pStyle w:val="null3"/>
        <w:ind w:firstLine="960"/>
      </w:pPr>
      <w:r>
        <w:rPr>
          <w:rFonts w:ascii="仿宋_GB2312" w:hAnsi="仿宋_GB2312" w:cs="仿宋_GB2312" w:eastAsia="仿宋_GB2312"/>
        </w:rPr>
        <w:t>详见附件：6团队人员配备方案.docx</w:t>
      </w:r>
    </w:p>
    <w:p>
      <w:pPr>
        <w:pStyle w:val="null3"/>
        <w:ind w:firstLine="960"/>
      </w:pPr>
      <w:r>
        <w:rPr>
          <w:rFonts w:ascii="仿宋_GB2312" w:hAnsi="仿宋_GB2312" w:cs="仿宋_GB2312" w:eastAsia="仿宋_GB2312"/>
        </w:rPr>
        <w:t>详见附件：7文明施工措施.docx</w:t>
      </w:r>
    </w:p>
    <w:p>
      <w:pPr>
        <w:pStyle w:val="null3"/>
        <w:ind w:firstLine="960"/>
      </w:pPr>
      <w:r>
        <w:rPr>
          <w:rFonts w:ascii="仿宋_GB2312" w:hAnsi="仿宋_GB2312" w:cs="仿宋_GB2312" w:eastAsia="仿宋_GB2312"/>
        </w:rPr>
        <w:t>详见附件：8突发情况处理方案及合理化建议.docx</w:t>
      </w:r>
    </w:p>
    <w:p>
      <w:pPr>
        <w:pStyle w:val="null3"/>
        <w:ind w:firstLine="960"/>
      </w:pPr>
      <w:r>
        <w:rPr>
          <w:rFonts w:ascii="仿宋_GB2312" w:hAnsi="仿宋_GB2312" w:cs="仿宋_GB2312" w:eastAsia="仿宋_GB2312"/>
        </w:rPr>
        <w:t>详见附件：9服务承诺.docx</w:t>
      </w:r>
    </w:p>
    <w:p>
      <w:pPr>
        <w:pStyle w:val="null3"/>
        <w:ind w:firstLine="960"/>
      </w:pPr>
      <w:r>
        <w:rPr>
          <w:rFonts w:ascii="仿宋_GB2312" w:hAnsi="仿宋_GB2312" w:cs="仿宋_GB2312" w:eastAsia="仿宋_GB2312"/>
        </w:rPr>
        <w:t>详见附件：10类似业绩.docx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