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版本号：DRZB2026-ZC-10220260120001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西安市210国道耿镇渭河大桥养护工程洪水影响评价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DRZB2026-ZC-102</w:t>
      </w:r>
      <w:r>
        <w:br/>
      </w:r>
      <w:r>
        <w:br/>
      </w:r>
      <w:r>
        <w:br/>
      </w:r>
    </w:p>
    <w:p>
      <w:pPr>
        <w:pStyle w:val="null3"/>
        <w:jc w:val="center"/>
        <w:outlineLvl w:val="2"/>
      </w:pPr>
      <w:r>
        <w:rPr>
          <w:rFonts w:ascii="仿宋_GB2312" w:hAnsi="仿宋_GB2312" w:cs="仿宋_GB2312" w:eastAsia="仿宋_GB2312"/>
          <w:sz w:val="28"/>
          <w:b/>
        </w:rPr>
        <w:t>西安市公路局</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西安市公路局</w:t>
      </w:r>
      <w:r>
        <w:rPr>
          <w:rFonts w:ascii="仿宋_GB2312" w:hAnsi="仿宋_GB2312" w:cs="仿宋_GB2312" w:eastAsia="仿宋_GB2312"/>
        </w:rPr>
        <w:t>委托，拟对</w:t>
      </w:r>
      <w:r>
        <w:rPr>
          <w:rFonts w:ascii="仿宋_GB2312" w:hAnsi="仿宋_GB2312" w:cs="仿宋_GB2312" w:eastAsia="仿宋_GB2312"/>
        </w:rPr>
        <w:t>西安市210国道耿镇渭河大桥养护工程洪水影响评价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DRZB2026-ZC-102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西安市210国道耿镇渭河大桥养护工程洪水影响评价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西安市210国道耿镇渭河大桥养护工程洪水影响评价，具体详见磋商文件。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采购包1（西安市210国道耿镇渭河大桥养护工程洪水影响评价）：属于专门面向中小企业采购。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5、专业技术能力的声明：提供具有履行本合同所必需的专业技术能力的声明；</w:t>
      </w:r>
    </w:p>
    <w:p>
      <w:pPr>
        <w:pStyle w:val="null3"/>
      </w:pPr>
      <w:r>
        <w:rPr>
          <w:rFonts w:ascii="仿宋_GB2312" w:hAnsi="仿宋_GB2312" w:cs="仿宋_GB2312" w:eastAsia="仿宋_GB2312"/>
        </w:rPr>
        <w:t>6、无重大违法记录声明：参加本次政府采购活动前3年内在经营活动中没有重大违纪，以及未被列入失信被执行人、重大税收违法失信主体、政府采购严重违法失信行为记录名单的书面声明；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w:t>
      </w:r>
    </w:p>
    <w:p>
      <w:pPr>
        <w:pStyle w:val="null3"/>
      </w:pPr>
      <w:r>
        <w:rPr>
          <w:rFonts w:ascii="仿宋_GB2312" w:hAnsi="仿宋_GB2312" w:cs="仿宋_GB2312" w:eastAsia="仿宋_GB2312"/>
        </w:rPr>
        <w:t>8、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9、供应商关联关系声明：供应商关联关系声明，包括：①控股管理关系（不得与参加本项目的其他供应商单位负责人为同一人或者存在直接控股、管理关系），②未为本项目提供整体设计、规范编制或者 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11、非联合体声明：提供非联合体不分包响应声明。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029-87343644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张海燕、赵璐、曹静、张昕玥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关于印发《招标代理服务收费管理暂行办法》的通知国家发改委文件计价格〔2002〕1980号、发改办价格〔2003〕857号及发改价格〔2015〕299号规定相关收费标准“服务类”的取费标准规定结合市场价格自主报价，招标代理服务费由成交供应商向采购代理机构支付。 银行户名：陕西德仁招标有限公司 开户银行：招商银行股份有限公司西安城南支行 账 号：1299 0904 6810 901 联 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西安市公路局</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联系人：张海燕、赵璐、曹静、张昕玥</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西安市210国道耿镇渭河大桥养护工程洪水影响评价，具体详见磋商文件。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C19990000 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标的名称：C19990000 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0"/>
            </w:pPr>
            <w:r>
              <w:rPr>
                <w:rFonts w:ascii="仿宋_GB2312" w:hAnsi="仿宋_GB2312" w:cs="仿宋_GB2312" w:eastAsia="仿宋_GB2312"/>
              </w:rPr>
              <w:t>一、项目概况</w:t>
            </w:r>
          </w:p>
          <w:p>
            <w:pPr>
              <w:pStyle w:val="null3"/>
            </w:pPr>
            <w:r>
              <w:rPr>
                <w:rFonts w:ascii="仿宋_GB2312" w:hAnsi="仿宋_GB2312" w:cs="仿宋_GB2312" w:eastAsia="仿宋_GB2312"/>
              </w:rPr>
              <w:t>1.主要内容</w:t>
            </w:r>
          </w:p>
          <w:p>
            <w:pPr>
              <w:pStyle w:val="null3"/>
            </w:pPr>
            <w:r>
              <w:rPr>
                <w:rFonts w:ascii="仿宋_GB2312" w:hAnsi="仿宋_GB2312" w:cs="仿宋_GB2312" w:eastAsia="仿宋_GB2312"/>
              </w:rPr>
              <w:t>现状西安市210国道耿镇渭河大桥下部部分桥墩桩基外露严重，同时桥梁存在混凝土裂缝、剥落、露筋等耐久性病害，急需进行病桥整治。根据《中华人民共和国水法》、《中华人民共和国防洪法》、《中华人民共和国黄河保护法》、《中华人民共和国河道管理条例》、《河道管理范围内建设项目管理的有关规定》等相关规定，需要开展涉河建设项目洪水影响评价工作，明确项目建设对河道行洪、河道管理等造成的影响，明确洪水对本项目的影响等，确保河道行洪及桥梁安全。</w:t>
            </w:r>
          </w:p>
          <w:p>
            <w:pPr>
              <w:pStyle w:val="null3"/>
            </w:pPr>
            <w:r>
              <w:rPr>
                <w:rFonts w:ascii="仿宋_GB2312" w:hAnsi="仿宋_GB2312" w:cs="仿宋_GB2312" w:eastAsia="仿宋_GB2312"/>
              </w:rPr>
              <w:t>2.总体要求</w:t>
            </w:r>
          </w:p>
          <w:p>
            <w:pPr>
              <w:pStyle w:val="null3"/>
            </w:pPr>
            <w:r>
              <w:rPr>
                <w:rFonts w:ascii="仿宋_GB2312" w:hAnsi="仿宋_GB2312" w:cs="仿宋_GB2312" w:eastAsia="仿宋_GB2312"/>
              </w:rPr>
              <w:t>按照《防洪标准》、《洪水影响评价技术导则》、《水利水电工程设计洪水计算规范》、《水利水电工程水文计算规范》、《公路工程水文勘测设计规范》等，对G210国道耿镇渭河大桥病桥整治工程进行洪水影响评价，明确桥梁整治方案对河道防洪安全的影响，并提出切实可行的整改措施，以保证河道防洪安全，同时保证桥梁的防洪安全。桥梁基本信息见本章附表。</w:t>
            </w:r>
          </w:p>
          <w:p>
            <w:pPr>
              <w:pStyle w:val="null3"/>
            </w:pPr>
            <w:r>
              <w:rPr>
                <w:rFonts w:ascii="仿宋_GB2312" w:hAnsi="仿宋_GB2312" w:cs="仿宋_GB2312" w:eastAsia="仿宋_GB2312"/>
              </w:rPr>
              <w:t>二、技术规范与相关服务要求</w:t>
            </w:r>
          </w:p>
          <w:p>
            <w:pPr>
              <w:pStyle w:val="null3"/>
            </w:pPr>
            <w:r>
              <w:rPr>
                <w:rFonts w:ascii="仿宋_GB2312" w:hAnsi="仿宋_GB2312" w:cs="仿宋_GB2312" w:eastAsia="仿宋_GB2312"/>
              </w:rPr>
              <w:t>2.1主要适用标准、规范</w:t>
            </w:r>
          </w:p>
          <w:p>
            <w:pPr>
              <w:pStyle w:val="null3"/>
            </w:pPr>
            <w:r>
              <w:rPr>
                <w:rFonts w:ascii="仿宋_GB2312" w:hAnsi="仿宋_GB2312" w:cs="仿宋_GB2312" w:eastAsia="仿宋_GB2312"/>
              </w:rPr>
              <w:t>1）《中华人民共和国水法》（2016年7月2日第十二届全国人大常委会第二十一次会议修订）；</w:t>
            </w:r>
          </w:p>
          <w:p>
            <w:pPr>
              <w:pStyle w:val="null3"/>
            </w:pPr>
            <w:r>
              <w:rPr>
                <w:rFonts w:ascii="仿宋_GB2312" w:hAnsi="仿宋_GB2312" w:cs="仿宋_GB2312" w:eastAsia="仿宋_GB2312"/>
              </w:rPr>
              <w:t>2）《中华人民共和国防洪法》（2016年7月2日第十二届全国人民代表大会常务委员会第二十一次会议第三次修正）；</w:t>
            </w:r>
          </w:p>
          <w:p>
            <w:pPr>
              <w:pStyle w:val="null3"/>
            </w:pPr>
            <w:r>
              <w:rPr>
                <w:rFonts w:ascii="仿宋_GB2312" w:hAnsi="仿宋_GB2312" w:cs="仿宋_GB2312" w:eastAsia="仿宋_GB2312"/>
              </w:rPr>
              <w:t>3）《中华人民共和国环境保护法》（2014年4月24日第十二届全国人民代表大会常务委员会第八次会议修正）；</w:t>
            </w:r>
          </w:p>
          <w:p>
            <w:pPr>
              <w:pStyle w:val="null3"/>
            </w:pPr>
            <w:r>
              <w:rPr>
                <w:rFonts w:ascii="仿宋_GB2312" w:hAnsi="仿宋_GB2312" w:cs="仿宋_GB2312" w:eastAsia="仿宋_GB2312"/>
              </w:rPr>
              <w:t>4）《中华人民共和国长江保护法》（2020年12月26日第十三届全国人民代表大会常务委员会第二十四次会议通过）；</w:t>
            </w:r>
          </w:p>
          <w:p>
            <w:pPr>
              <w:pStyle w:val="null3"/>
            </w:pPr>
            <w:r>
              <w:rPr>
                <w:rFonts w:ascii="仿宋_GB2312" w:hAnsi="仿宋_GB2312" w:cs="仿宋_GB2312" w:eastAsia="仿宋_GB2312"/>
              </w:rPr>
              <w:t>5）《中华人民共和国水污染防治法》（2017年6月27日第十二届全国人民代表大会常务委员会第二十八次会议第二次修正。）</w:t>
            </w:r>
          </w:p>
          <w:p>
            <w:pPr>
              <w:pStyle w:val="null3"/>
            </w:pPr>
            <w:r>
              <w:rPr>
                <w:rFonts w:ascii="仿宋_GB2312" w:hAnsi="仿宋_GB2312" w:cs="仿宋_GB2312" w:eastAsia="仿宋_GB2312"/>
              </w:rPr>
              <w:t>6）《水文监测环境和设施保护办法》（2015年12月16日《水利部关于废止和修改部分规章的决定》修正）；</w:t>
            </w:r>
          </w:p>
          <w:p>
            <w:pPr>
              <w:pStyle w:val="null3"/>
            </w:pPr>
            <w:r>
              <w:rPr>
                <w:rFonts w:ascii="仿宋_GB2312" w:hAnsi="仿宋_GB2312" w:cs="仿宋_GB2312" w:eastAsia="仿宋_GB2312"/>
              </w:rPr>
              <w:t>7）《中华人民共和国河道管理条例》（2018年3月19日《国务院关于修改和废止部分行政法规的决定》第四次修订）；</w:t>
            </w:r>
          </w:p>
          <w:p>
            <w:pPr>
              <w:pStyle w:val="null3"/>
            </w:pPr>
            <w:r>
              <w:rPr>
                <w:rFonts w:ascii="仿宋_GB2312" w:hAnsi="仿宋_GB2312" w:cs="仿宋_GB2312" w:eastAsia="仿宋_GB2312"/>
              </w:rPr>
              <w:t>8）《河道管理范围内建设项目管理的有关规定》（2017年12月22日中华人民共和国水利部令第49号修订）；</w:t>
            </w:r>
          </w:p>
          <w:p>
            <w:pPr>
              <w:pStyle w:val="null3"/>
            </w:pPr>
            <w:r>
              <w:rPr>
                <w:rFonts w:ascii="仿宋_GB2312" w:hAnsi="仿宋_GB2312" w:cs="仿宋_GB2312" w:eastAsia="仿宋_GB2312"/>
              </w:rPr>
              <w:t>9）《中华人民共和国水文条例》（2017年3月1日《国务院关于修改和废止部分行政法规的决定》第三次修订；</w:t>
            </w:r>
          </w:p>
          <w:p>
            <w:pPr>
              <w:pStyle w:val="null3"/>
            </w:pPr>
            <w:r>
              <w:rPr>
                <w:rFonts w:ascii="仿宋_GB2312" w:hAnsi="仿宋_GB2312" w:cs="仿宋_GB2312" w:eastAsia="仿宋_GB2312"/>
              </w:rPr>
              <w:t>10）《水利部关于废止和修改部分规章的决定》（2017年12月22日中华人民共和国水利部令第49号）；</w:t>
            </w:r>
          </w:p>
          <w:p>
            <w:pPr>
              <w:pStyle w:val="null3"/>
            </w:pPr>
            <w:r>
              <w:rPr>
                <w:rFonts w:ascii="仿宋_GB2312" w:hAnsi="仿宋_GB2312" w:cs="仿宋_GB2312" w:eastAsia="仿宋_GB2312"/>
              </w:rPr>
              <w:t>11）《水利部办公厅关于进一步加强河湖管理范围内建设项目管理的通知》（办河湖〔2020〕177号）；</w:t>
            </w:r>
          </w:p>
          <w:p>
            <w:pPr>
              <w:pStyle w:val="null3"/>
            </w:pPr>
            <w:r>
              <w:rPr>
                <w:rFonts w:ascii="仿宋_GB2312" w:hAnsi="仿宋_GB2312" w:cs="仿宋_GB2312" w:eastAsia="仿宋_GB2312"/>
              </w:rPr>
              <w:t>12）《水利部关于印发河湖管理范围内建设项目各流域管理机构审查权限的通知》（水河湖〔2021〕237号）；</w:t>
            </w:r>
          </w:p>
          <w:p>
            <w:pPr>
              <w:pStyle w:val="null3"/>
            </w:pPr>
            <w:r>
              <w:rPr>
                <w:rFonts w:ascii="仿宋_GB2312" w:hAnsi="仿宋_GB2312" w:cs="仿宋_GB2312" w:eastAsia="仿宋_GB2312"/>
              </w:rPr>
              <w:t>13）《水利部关于印发黄河流域重要河道岸线保护与利用规划的通知》（水河湖〔2021〕338号）；</w:t>
            </w:r>
          </w:p>
          <w:p>
            <w:pPr>
              <w:pStyle w:val="null3"/>
            </w:pPr>
            <w:r>
              <w:rPr>
                <w:rFonts w:ascii="仿宋_GB2312" w:hAnsi="仿宋_GB2312" w:cs="仿宋_GB2312" w:eastAsia="仿宋_GB2312"/>
              </w:rPr>
              <w:t>14）《陕西省水工程管理条例》（2014年11月27日陕西省第十二届人民代表大会常务委员会第四次会议第二次修订）；</w:t>
            </w:r>
          </w:p>
          <w:p>
            <w:pPr>
              <w:pStyle w:val="null3"/>
            </w:pPr>
            <w:r>
              <w:rPr>
                <w:rFonts w:ascii="仿宋_GB2312" w:hAnsi="仿宋_GB2312" w:cs="仿宋_GB2312" w:eastAsia="仿宋_GB2312"/>
              </w:rPr>
              <w:t>15）《陕西省河道管理条例》（陕西省第十三届人民代表大会常务委员会第三次会议修订）；</w:t>
            </w:r>
          </w:p>
          <w:p>
            <w:pPr>
              <w:pStyle w:val="null3"/>
            </w:pPr>
            <w:r>
              <w:rPr>
                <w:rFonts w:ascii="仿宋_GB2312" w:hAnsi="仿宋_GB2312" w:cs="仿宋_GB2312" w:eastAsia="仿宋_GB2312"/>
              </w:rPr>
              <w:t>16）《河道管理范围内建设项目技术审查导则（试行）》（陕水河湖发〔2022〕78号）；</w:t>
            </w:r>
          </w:p>
          <w:p>
            <w:pPr>
              <w:pStyle w:val="null3"/>
            </w:pPr>
            <w:r>
              <w:rPr>
                <w:rFonts w:ascii="仿宋_GB2312" w:hAnsi="仿宋_GB2312" w:cs="仿宋_GB2312" w:eastAsia="仿宋_GB2312"/>
              </w:rPr>
              <w:t>17）《防洪标准》（GB50201-2014）；</w:t>
            </w:r>
          </w:p>
          <w:p>
            <w:pPr>
              <w:pStyle w:val="null3"/>
            </w:pPr>
            <w:r>
              <w:rPr>
                <w:rFonts w:ascii="仿宋_GB2312" w:hAnsi="仿宋_GB2312" w:cs="仿宋_GB2312" w:eastAsia="仿宋_GB2312"/>
              </w:rPr>
              <w:t>18）《洪水影响评价技术导则》（SL/T808-2025）；</w:t>
            </w:r>
          </w:p>
          <w:p>
            <w:pPr>
              <w:pStyle w:val="null3"/>
            </w:pPr>
            <w:r>
              <w:rPr>
                <w:rFonts w:ascii="仿宋_GB2312" w:hAnsi="仿宋_GB2312" w:cs="仿宋_GB2312" w:eastAsia="仿宋_GB2312"/>
              </w:rPr>
              <w:t>19）《水利水电工程设计洪水计算规范》（SL44-2006）；</w:t>
            </w:r>
          </w:p>
          <w:p>
            <w:pPr>
              <w:pStyle w:val="null3"/>
            </w:pPr>
            <w:r>
              <w:rPr>
                <w:rFonts w:ascii="仿宋_GB2312" w:hAnsi="仿宋_GB2312" w:cs="仿宋_GB2312" w:eastAsia="仿宋_GB2312"/>
              </w:rPr>
              <w:t>20）《水利水电工程水文计算规范》（SL278-2020）；</w:t>
            </w:r>
          </w:p>
          <w:p>
            <w:pPr>
              <w:pStyle w:val="null3"/>
            </w:pPr>
            <w:r>
              <w:rPr>
                <w:rFonts w:ascii="仿宋_GB2312" w:hAnsi="仿宋_GB2312" w:cs="仿宋_GB2312" w:eastAsia="仿宋_GB2312"/>
              </w:rPr>
              <w:t>21）《水利水电工程等级划分及洪水标准》（SL252-2017）；</w:t>
            </w:r>
          </w:p>
          <w:p>
            <w:pPr>
              <w:pStyle w:val="null3"/>
            </w:pPr>
            <w:r>
              <w:rPr>
                <w:rFonts w:ascii="仿宋_GB2312" w:hAnsi="仿宋_GB2312" w:cs="仿宋_GB2312" w:eastAsia="仿宋_GB2312"/>
              </w:rPr>
              <w:t>22）《铁路工程水文勘测设计规范》（TB10017-2021）；</w:t>
            </w:r>
          </w:p>
          <w:p>
            <w:pPr>
              <w:pStyle w:val="null3"/>
            </w:pPr>
            <w:r>
              <w:rPr>
                <w:rFonts w:ascii="仿宋_GB2312" w:hAnsi="仿宋_GB2312" w:cs="仿宋_GB2312" w:eastAsia="仿宋_GB2312"/>
              </w:rPr>
              <w:t>23）《公路工程水文勘测设计规范》（JTG C30-2015）；</w:t>
            </w:r>
          </w:p>
          <w:p>
            <w:pPr>
              <w:pStyle w:val="null3"/>
            </w:pPr>
            <w:r>
              <w:rPr>
                <w:rFonts w:ascii="仿宋_GB2312" w:hAnsi="仿宋_GB2312" w:cs="仿宋_GB2312" w:eastAsia="仿宋_GB2312"/>
              </w:rPr>
              <w:t>24）《堤防工程设计规范》（GB50286-2013）；</w:t>
            </w:r>
          </w:p>
          <w:p>
            <w:pPr>
              <w:pStyle w:val="null3"/>
            </w:pPr>
            <w:r>
              <w:rPr>
                <w:rFonts w:ascii="仿宋_GB2312" w:hAnsi="仿宋_GB2312" w:cs="仿宋_GB2312" w:eastAsia="仿宋_GB2312"/>
              </w:rPr>
              <w:t>25）相关其他技术规范。</w:t>
            </w:r>
          </w:p>
          <w:p>
            <w:pPr>
              <w:pStyle w:val="null3"/>
            </w:pPr>
            <w:r>
              <w:rPr>
                <w:rFonts w:ascii="仿宋_GB2312" w:hAnsi="仿宋_GB2312" w:cs="仿宋_GB2312" w:eastAsia="仿宋_GB2312"/>
              </w:rPr>
              <w:t>2.2安全、保畅通措施</w:t>
            </w:r>
          </w:p>
          <w:p>
            <w:pPr>
              <w:pStyle w:val="null3"/>
            </w:pPr>
            <w:r>
              <w:rPr>
                <w:rFonts w:ascii="仿宋_GB2312" w:hAnsi="仿宋_GB2312" w:cs="仿宋_GB2312" w:eastAsia="仿宋_GB2312"/>
              </w:rPr>
              <w:t>为保证本项目的安全如期完成，针对本项目各阶段可能存在的问题制定应对措施：</w:t>
            </w:r>
          </w:p>
          <w:p>
            <w:pPr>
              <w:pStyle w:val="null3"/>
            </w:pPr>
            <w:r>
              <w:rPr>
                <w:rFonts w:ascii="仿宋_GB2312" w:hAnsi="仿宋_GB2312" w:cs="仿宋_GB2312" w:eastAsia="仿宋_GB2312"/>
              </w:rPr>
              <w:t>1）断面资料不够详细，部分水文参数需要现场确定。</w:t>
            </w:r>
          </w:p>
          <w:p>
            <w:pPr>
              <w:pStyle w:val="null3"/>
            </w:pPr>
            <w:r>
              <w:rPr>
                <w:rFonts w:ascii="仿宋_GB2312" w:hAnsi="仿宋_GB2312" w:cs="仿宋_GB2312" w:eastAsia="仿宋_GB2312"/>
              </w:rPr>
              <w:t>应对措施:组织团队进行外业勘察，实地考察线路以及涉河路段及周边的情况;观察测量河道大断面信息。现场做实验确定比降以及糙率系数。</w:t>
            </w:r>
          </w:p>
          <w:p>
            <w:pPr>
              <w:pStyle w:val="null3"/>
            </w:pPr>
            <w:r>
              <w:rPr>
                <w:rFonts w:ascii="仿宋_GB2312" w:hAnsi="仿宋_GB2312" w:cs="仿宋_GB2312" w:eastAsia="仿宋_GB2312"/>
              </w:rPr>
              <w:t>2）桥梁整治方案由洪水位控制，影响桥梁安全。</w:t>
            </w:r>
          </w:p>
          <w:p>
            <w:pPr>
              <w:pStyle w:val="null3"/>
            </w:pPr>
            <w:r>
              <w:rPr>
                <w:rFonts w:ascii="仿宋_GB2312" w:hAnsi="仿宋_GB2312" w:cs="仿宋_GB2312" w:eastAsia="仿宋_GB2312"/>
              </w:rPr>
              <w:t>应对措施：应用多种方法综合论证，反复计算评价对象洪水位，部分参数取值从偏安全方向考虑，必要时可以分组计算综合讨论的方法，确保桥梁的安全。</w:t>
            </w:r>
          </w:p>
          <w:p>
            <w:pPr>
              <w:pStyle w:val="null3"/>
            </w:pPr>
            <w:r>
              <w:rPr>
                <w:rFonts w:ascii="仿宋_GB2312" w:hAnsi="仿宋_GB2312" w:cs="仿宋_GB2312" w:eastAsia="仿宋_GB2312"/>
              </w:rPr>
              <w:t>3）根据洪评成果，需要工程设计变动。</w:t>
            </w:r>
          </w:p>
          <w:p>
            <w:pPr>
              <w:pStyle w:val="null3"/>
            </w:pPr>
            <w:r>
              <w:rPr>
                <w:rFonts w:ascii="仿宋_GB2312" w:hAnsi="仿宋_GB2312" w:cs="仿宋_GB2312" w:eastAsia="仿宋_GB2312"/>
              </w:rPr>
              <w:t>应对措施：及时与设计单位沟通，争取第一时间修改报告，如期完成洪水影响评价报告。</w:t>
            </w:r>
          </w:p>
          <w:p>
            <w:pPr>
              <w:pStyle w:val="null3"/>
            </w:pPr>
            <w:r>
              <w:rPr>
                <w:rFonts w:ascii="仿宋_GB2312" w:hAnsi="仿宋_GB2312" w:cs="仿宋_GB2312" w:eastAsia="仿宋_GB2312"/>
              </w:rPr>
              <w:t>2.3 第三方责任保险</w:t>
            </w:r>
          </w:p>
          <w:p>
            <w:pPr>
              <w:pStyle w:val="null3"/>
            </w:pPr>
            <w:r>
              <w:rPr>
                <w:rFonts w:ascii="仿宋_GB2312" w:hAnsi="仿宋_GB2312" w:cs="仿宋_GB2312" w:eastAsia="仿宋_GB2312"/>
              </w:rPr>
              <w:t>成交人应充分预计到可能的安全风险对工作人员、设备仪器等造成的意外事件，必须按有关规定进行人身意外等保险投保，投保费不单独报价，计入报价中。</w:t>
            </w:r>
          </w:p>
          <w:p>
            <w:pPr>
              <w:pStyle w:val="null3"/>
            </w:pPr>
            <w:r>
              <w:rPr>
                <w:rFonts w:ascii="仿宋_GB2312" w:hAnsi="仿宋_GB2312" w:cs="仿宋_GB2312" w:eastAsia="仿宋_GB2312"/>
              </w:rPr>
              <w:t>三、洪水影响评价相关要求</w:t>
            </w:r>
          </w:p>
          <w:p>
            <w:pPr>
              <w:pStyle w:val="null3"/>
            </w:pPr>
            <w:r>
              <w:rPr>
                <w:rFonts w:ascii="仿宋_GB2312" w:hAnsi="仿宋_GB2312" w:cs="仿宋_GB2312" w:eastAsia="仿宋_GB2312"/>
              </w:rPr>
              <w:t>洪水影响评价工作主要分为外业勘测和内业工作，其中外业勘测主要分为现场勘察，断面、地形测量等，内业工作主要分为基础资料的整理分析、河道演变分析、洪水影响评价计算、洪水影响评价、消除和减轻措施的制定、报告的编写与制图，报告送审报批等工作。</w:t>
            </w:r>
          </w:p>
          <w:p>
            <w:pPr>
              <w:pStyle w:val="null3"/>
            </w:pPr>
            <w:r>
              <w:rPr>
                <w:rFonts w:ascii="仿宋_GB2312" w:hAnsi="仿宋_GB2312" w:cs="仿宋_GB2312" w:eastAsia="仿宋_GB2312"/>
              </w:rPr>
              <w:t>1）现场勘察</w:t>
            </w:r>
          </w:p>
          <w:p>
            <w:pPr>
              <w:pStyle w:val="null3"/>
            </w:pPr>
            <w:r>
              <w:rPr>
                <w:rFonts w:ascii="仿宋_GB2312" w:hAnsi="仿宋_GB2312" w:cs="仿宋_GB2312" w:eastAsia="仿宋_GB2312"/>
              </w:rPr>
              <w:t>应对项目所在区域进行实地勘察，进行工程情况的调查，明确现场基本情况，进行GPS数据采集，河势情况初步调查，地形地貌及自然条件初步调查，无人机现场影像资料采集。</w:t>
            </w:r>
          </w:p>
          <w:p>
            <w:pPr>
              <w:pStyle w:val="null3"/>
            </w:pPr>
            <w:r>
              <w:rPr>
                <w:rFonts w:ascii="仿宋_GB2312" w:hAnsi="仿宋_GB2312" w:cs="仿宋_GB2312" w:eastAsia="仿宋_GB2312"/>
              </w:rPr>
              <w:t>2）断面、地形测量</w:t>
            </w:r>
          </w:p>
          <w:p>
            <w:pPr>
              <w:pStyle w:val="null3"/>
            </w:pPr>
            <w:r>
              <w:rPr>
                <w:rFonts w:ascii="仿宋_GB2312" w:hAnsi="仿宋_GB2312" w:cs="仿宋_GB2312" w:eastAsia="仿宋_GB2312"/>
              </w:rPr>
              <w:t>应进行河道断面和地形进行测量，为报告编制提供测量数据。</w:t>
            </w:r>
          </w:p>
          <w:p>
            <w:pPr>
              <w:pStyle w:val="null3"/>
            </w:pPr>
            <w:r>
              <w:rPr>
                <w:rFonts w:ascii="仿宋_GB2312" w:hAnsi="仿宋_GB2312" w:cs="仿宋_GB2312" w:eastAsia="仿宋_GB2312"/>
              </w:rPr>
              <w:t>3）基础资料的整理分析</w:t>
            </w:r>
          </w:p>
          <w:p>
            <w:pPr>
              <w:pStyle w:val="null3"/>
            </w:pPr>
            <w:r>
              <w:rPr>
                <w:rFonts w:ascii="仿宋_GB2312" w:hAnsi="仿宋_GB2312" w:cs="仿宋_GB2312" w:eastAsia="仿宋_GB2312"/>
              </w:rPr>
              <w:t>应进行基础资料的整理，整理项目涉及的气象、洪水、泥沙，及有关设计、论证、研究成果，整理测量和地勘成果。明确河道、堤防、水库、涵闸、泵站等现有水利工程情况。明确建设项目所在河段的具体规划要求，规划实施情况等。</w:t>
            </w:r>
          </w:p>
          <w:p>
            <w:pPr>
              <w:pStyle w:val="null3"/>
            </w:pPr>
            <w:r>
              <w:rPr>
                <w:rFonts w:ascii="仿宋_GB2312" w:hAnsi="仿宋_GB2312" w:cs="仿宋_GB2312" w:eastAsia="仿宋_GB2312"/>
              </w:rPr>
              <w:t>4）河道演变分析</w:t>
            </w:r>
          </w:p>
          <w:p>
            <w:pPr>
              <w:pStyle w:val="null3"/>
            </w:pPr>
            <w:r>
              <w:rPr>
                <w:rFonts w:ascii="仿宋_GB2312" w:hAnsi="仿宋_GB2312" w:cs="仿宋_GB2312" w:eastAsia="仿宋_GB2312"/>
              </w:rPr>
              <w:t>基于相关资料，简述建设项目所在河段的历史演变过程和特点。根据有关实测资料结合卫星影像，分析近期河段内深泓、洲滩、汉道、岸线等平面变化、断面变化及河床冲淤特性等。根据历史、近期河道演变情况，结合水利规划实施安排，对河道将来的演变趋势进行定性或定量分析，包括河道的平面变化、断面变化、河床冲淤变化等。</w:t>
            </w:r>
          </w:p>
          <w:p>
            <w:pPr>
              <w:pStyle w:val="null3"/>
            </w:pPr>
            <w:r>
              <w:rPr>
                <w:rFonts w:ascii="仿宋_GB2312" w:hAnsi="仿宋_GB2312" w:cs="仿宋_GB2312" w:eastAsia="仿宋_GB2312"/>
              </w:rPr>
              <w:t>5）洪水影响评价计算</w:t>
            </w:r>
          </w:p>
          <w:p>
            <w:pPr>
              <w:pStyle w:val="null3"/>
            </w:pPr>
            <w:r>
              <w:rPr>
                <w:rFonts w:ascii="仿宋_GB2312" w:hAnsi="仿宋_GB2312" w:cs="仿宋_GB2312" w:eastAsia="仿宋_GB2312"/>
              </w:rPr>
              <w:t>基于整理汇总的资料，进行防洪评价分析计算，分析项目对防洪的各项指标的影响。依据水文资料进行三性审查，水文分析计算，确定设计洪水，明确冲刷、淤积情况。</w:t>
            </w:r>
          </w:p>
          <w:p>
            <w:pPr>
              <w:pStyle w:val="null3"/>
            </w:pPr>
            <w:r>
              <w:rPr>
                <w:rFonts w:ascii="仿宋_GB2312" w:hAnsi="仿宋_GB2312" w:cs="仿宋_GB2312" w:eastAsia="仿宋_GB2312"/>
              </w:rPr>
              <w:t>建设项目洪水影响评价的计算条件一般应分别采用所在河段的现状防洪、排涝标准或规划标准，建设项目本身的设计（校核）标准以及历史上最大洪水。对没有防洪、排涝标准和防洪规划的河段，应进行有关水文分析计算。</w:t>
            </w:r>
          </w:p>
          <w:p>
            <w:pPr>
              <w:pStyle w:val="null3"/>
            </w:pPr>
            <w:r>
              <w:rPr>
                <w:rFonts w:ascii="仿宋_GB2312" w:hAnsi="仿宋_GB2312" w:cs="仿宋_GB2312" w:eastAsia="仿宋_GB2312"/>
              </w:rPr>
              <w:t>对占用河道断面，影响洪水下泄的阻水建筑物，应进行壅水计算。一般情况下可采用规范推荐的经验公式进行计算；壅水高度高和壅水范围对河段的防洪影响较大的开展数学模型计算或物理模型试验。</w:t>
            </w:r>
          </w:p>
          <w:p>
            <w:pPr>
              <w:pStyle w:val="null3"/>
            </w:pPr>
            <w:r>
              <w:rPr>
                <w:rFonts w:ascii="仿宋_GB2312" w:hAnsi="仿宋_GB2312" w:cs="仿宋_GB2312" w:eastAsia="仿宋_GB2312"/>
              </w:rPr>
              <w:t>应对河道的冲淤变化可能产生影响的建设项目，应进行冲刷与淤积分析计算。一般情况下可采用规范推荐的经验公式结合实测资料，进行冲刷和淤积分析计算；所在河段有重要防洪任务或重要防洪工程的，还应开展动床数学模型计算或动床物理模型试验研究。</w:t>
            </w:r>
          </w:p>
          <w:p>
            <w:pPr>
              <w:pStyle w:val="null3"/>
            </w:pPr>
            <w:r>
              <w:rPr>
                <w:rFonts w:ascii="仿宋_GB2312" w:hAnsi="仿宋_GB2312" w:cs="仿宋_GB2312" w:eastAsia="仿宋_GB2312"/>
              </w:rPr>
              <w:t>6）洪水影响综合评价</w:t>
            </w:r>
          </w:p>
          <w:p>
            <w:pPr>
              <w:pStyle w:val="null3"/>
            </w:pPr>
            <w:r>
              <w:rPr>
                <w:rFonts w:ascii="仿宋_GB2312" w:hAnsi="仿宋_GB2312" w:cs="仿宋_GB2312" w:eastAsia="仿宋_GB2312"/>
              </w:rPr>
              <w:t>根据建设项目的基本情况、所在河段的防洪任务与防洪要求、防洪工程与河道整治工程布局及其它国民经济设施的分布情况等，以及河道演变分析成果、防洪评价计算或试验研究结果，对建设项目的防洪影响进行综合评价，明确项目与有关规划的关系和影响，项目对河道河势、河道行洪、其他水利工程等的影响。</w:t>
            </w:r>
          </w:p>
          <w:p>
            <w:pPr>
              <w:pStyle w:val="null3"/>
            </w:pPr>
            <w:r>
              <w:rPr>
                <w:rFonts w:ascii="仿宋_GB2312" w:hAnsi="仿宋_GB2312" w:cs="仿宋_GB2312" w:eastAsia="仿宋_GB2312"/>
              </w:rPr>
              <w:t>7）消除和减轻措施的制定</w:t>
            </w:r>
          </w:p>
          <w:p>
            <w:pPr>
              <w:pStyle w:val="null3"/>
            </w:pPr>
            <w:r>
              <w:rPr>
                <w:rFonts w:ascii="仿宋_GB2312" w:hAnsi="仿宋_GB2312" w:cs="仿宋_GB2312" w:eastAsia="仿宋_GB2312"/>
              </w:rPr>
              <w:t>依据分析结果，对项目可能存问题以及不利用影响，提出切实可行的补救措施，对水利规划的实施有较大影响的建设项目，应对建设项目的总体布置、方案、建设规模、有关设计、施工组织设计等提出调整意见，并提出有关补救措施；对河道防洪水位、行洪能力、行洪安全、引排能力有较大影响的建设项目，应对其布置、结构型式与尺寸、施工组织设计等提出调整意见，并提出有关的补救措施；对现有堤防、护岸工程安全影响较大的建设项目，应对其布置、结构型式与尺寸、施工组织设计等提出调整意见，并提出有关的补救措施；对防汛抢险、工程管理有较大影响的建设项目，应对其工程布置、施工组织、工期安排等提出调整意见，并提出有关补救措施；对河势稳定有较大影响的建设项目，应对其工程布置、结构型式、施工方案及施工临时建筑物设计等提出调整意见，并提出有关补救措施；对其它水利工程及运用有较大影响的建设项目，应对其工程布置、结构型式及施工组织设计等提出调整意见，并提出有关补救措施；其它影响补救措施，包括对第三人的合法水事权益影响的补救措施等。</w:t>
            </w:r>
          </w:p>
          <w:p>
            <w:pPr>
              <w:pStyle w:val="null3"/>
            </w:pPr>
            <w:r>
              <w:rPr>
                <w:rFonts w:ascii="仿宋_GB2312" w:hAnsi="仿宋_GB2312" w:cs="仿宋_GB2312" w:eastAsia="仿宋_GB2312"/>
              </w:rPr>
              <w:t>对防洪工程的影响须提出明确的影响内容和范围，采取防治与补救措施，对工程量进行初步估算。</w:t>
            </w:r>
          </w:p>
          <w:p>
            <w:pPr>
              <w:pStyle w:val="null3"/>
            </w:pPr>
            <w:r>
              <w:rPr>
                <w:rFonts w:ascii="仿宋_GB2312" w:hAnsi="仿宋_GB2312" w:cs="仿宋_GB2312" w:eastAsia="仿宋_GB2312"/>
              </w:rPr>
              <w:t>8）项目报告的编制及制图</w:t>
            </w:r>
          </w:p>
          <w:p>
            <w:pPr>
              <w:pStyle w:val="null3"/>
            </w:pPr>
            <w:r>
              <w:rPr>
                <w:rFonts w:ascii="仿宋_GB2312" w:hAnsi="仿宋_GB2312" w:cs="仿宋_GB2312" w:eastAsia="仿宋_GB2312"/>
              </w:rPr>
              <w:t>进行报告编制汇总工作，完成附图附表的制作，并邀请业内专家进行指导，对报告欠缺之处进行补充完善，提高报告整体编制质量。</w:t>
            </w:r>
          </w:p>
          <w:p>
            <w:pPr>
              <w:pStyle w:val="null3"/>
            </w:pPr>
            <w:r>
              <w:rPr>
                <w:rFonts w:ascii="仿宋_GB2312" w:hAnsi="仿宋_GB2312" w:cs="仿宋_GB2312" w:eastAsia="仿宋_GB2312"/>
              </w:rPr>
              <w:t>9）项目报告的评审及报批</w:t>
            </w:r>
          </w:p>
          <w:p>
            <w:pPr>
              <w:pStyle w:val="null3"/>
            </w:pPr>
            <w:r>
              <w:rPr>
                <w:rFonts w:ascii="仿宋_GB2312" w:hAnsi="仿宋_GB2312" w:cs="仿宋_GB2312" w:eastAsia="仿宋_GB2312"/>
              </w:rPr>
              <w:t>在完成项目报告的编制工作后，开展项目送审及报批工作，取得批复文件。</w:t>
            </w:r>
          </w:p>
          <w:p>
            <w:pPr>
              <w:pStyle w:val="null3"/>
            </w:pPr>
            <w:r>
              <w:rPr>
                <w:rFonts w:ascii="仿宋_GB2312" w:hAnsi="仿宋_GB2312" w:cs="仿宋_GB2312" w:eastAsia="仿宋_GB2312"/>
              </w:rPr>
              <w:t>四、报告成果提交</w:t>
            </w:r>
          </w:p>
          <w:p>
            <w:pPr>
              <w:pStyle w:val="null3"/>
            </w:pPr>
            <w:r>
              <w:rPr>
                <w:rFonts w:ascii="仿宋_GB2312" w:hAnsi="仿宋_GB2312" w:cs="仿宋_GB2312" w:eastAsia="仿宋_GB2312"/>
              </w:rPr>
              <w:t>4.1沟通协调</w:t>
            </w:r>
          </w:p>
          <w:p>
            <w:pPr>
              <w:pStyle w:val="null3"/>
            </w:pPr>
            <w:r>
              <w:rPr>
                <w:rFonts w:ascii="仿宋_GB2312" w:hAnsi="仿宋_GB2312" w:cs="仿宋_GB2312" w:eastAsia="仿宋_GB2312"/>
              </w:rPr>
              <w:t>提交正式洪水影响评价报告前，编制单位应把主要计算成果、洪水影响评价主要结论、消除和减轻措施等有关问题向采购人及时汇报。</w:t>
            </w:r>
          </w:p>
          <w:p>
            <w:pPr>
              <w:pStyle w:val="null3"/>
            </w:pPr>
            <w:r>
              <w:rPr>
                <w:rFonts w:ascii="仿宋_GB2312" w:hAnsi="仿宋_GB2312" w:cs="仿宋_GB2312" w:eastAsia="仿宋_GB2312"/>
              </w:rPr>
              <w:t>4.2提交成果及方式</w:t>
            </w:r>
          </w:p>
          <w:p>
            <w:pPr>
              <w:pStyle w:val="null3"/>
            </w:pPr>
            <w:r>
              <w:rPr>
                <w:rFonts w:ascii="仿宋_GB2312" w:hAnsi="仿宋_GB2312" w:cs="仿宋_GB2312" w:eastAsia="仿宋_GB2312"/>
              </w:rPr>
              <w:t>提交本项目盖章、签字齐全的纸质报告一式4份，并提供以上报告扫描电子版报告。</w:t>
            </w:r>
          </w:p>
          <w:p>
            <w:pPr>
              <w:pStyle w:val="null3"/>
            </w:pPr>
            <w:r>
              <w:rPr>
                <w:rFonts w:ascii="仿宋_GB2312" w:hAnsi="仿宋_GB2312" w:cs="仿宋_GB2312" w:eastAsia="仿宋_GB2312"/>
              </w:rPr>
              <w:t>洪水影响评价报告应结论明确、用词规范、文字简练,对于容易混淆的术语和概念,以文字解释或图例、图像、图表说明。</w:t>
            </w:r>
          </w:p>
          <w:p>
            <w:pPr>
              <w:pStyle w:val="null3"/>
            </w:pPr>
            <w:r>
              <w:rPr>
                <w:rFonts w:ascii="仿宋_GB2312" w:hAnsi="仿宋_GB2312" w:cs="仿宋_GB2312" w:eastAsia="仿宋_GB2312"/>
              </w:rPr>
              <w:t>五、附录：西安市210国道耿镇渭河大桥基本信息</w:t>
            </w:r>
          </w:p>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319"/>
                </w:tcPr>
                <w:p>
                  <w:pPr>
                    <w:pStyle w:val="null3"/>
                  </w:pPr>
                  <w:r>
                    <w:rPr>
                      <w:rFonts w:ascii="仿宋_GB2312" w:hAnsi="仿宋_GB2312" w:cs="仿宋_GB2312" w:eastAsia="仿宋_GB2312"/>
                    </w:rPr>
                    <w:t>桥梁名称</w:t>
                  </w:r>
                </w:p>
              </w:tc>
              <w:tc>
                <w:tcPr>
                  <w:tcW w:type="dxa" w:w="319"/>
                </w:tcPr>
                <w:p>
                  <w:pPr>
                    <w:pStyle w:val="null3"/>
                  </w:pPr>
                  <w:r>
                    <w:rPr>
                      <w:rFonts w:ascii="仿宋_GB2312" w:hAnsi="仿宋_GB2312" w:cs="仿宋_GB2312" w:eastAsia="仿宋_GB2312"/>
                    </w:rPr>
                    <w:t>路线编号</w:t>
                  </w:r>
                </w:p>
              </w:tc>
              <w:tc>
                <w:tcPr>
                  <w:tcW w:type="dxa" w:w="319"/>
                </w:tcPr>
                <w:p>
                  <w:pPr>
                    <w:pStyle w:val="null3"/>
                  </w:pPr>
                  <w:r>
                    <w:rPr>
                      <w:rFonts w:ascii="仿宋_GB2312" w:hAnsi="仿宋_GB2312" w:cs="仿宋_GB2312" w:eastAsia="仿宋_GB2312"/>
                    </w:rPr>
                    <w:t>公路等级</w:t>
                  </w:r>
                </w:p>
              </w:tc>
              <w:tc>
                <w:tcPr>
                  <w:tcW w:type="dxa" w:w="319"/>
                </w:tcPr>
                <w:p>
                  <w:pPr>
                    <w:pStyle w:val="null3"/>
                  </w:pPr>
                  <w:r>
                    <w:rPr>
                      <w:rFonts w:ascii="仿宋_GB2312" w:hAnsi="仿宋_GB2312" w:cs="仿宋_GB2312" w:eastAsia="仿宋_GB2312"/>
                    </w:rPr>
                    <w:t>桥梁全长（米）</w:t>
                  </w:r>
                </w:p>
              </w:tc>
              <w:tc>
                <w:tcPr>
                  <w:tcW w:type="dxa" w:w="319"/>
                </w:tcPr>
                <w:p>
                  <w:pPr>
                    <w:pStyle w:val="null3"/>
                  </w:pPr>
                  <w:r>
                    <w:rPr>
                      <w:rFonts w:ascii="仿宋_GB2312" w:hAnsi="仿宋_GB2312" w:cs="仿宋_GB2312" w:eastAsia="仿宋_GB2312"/>
                    </w:rPr>
                    <w:t>单孔最大跨径(米)</w:t>
                  </w:r>
                </w:p>
              </w:tc>
              <w:tc>
                <w:tcPr>
                  <w:tcW w:type="dxa" w:w="319"/>
                </w:tcPr>
                <w:p>
                  <w:pPr>
                    <w:pStyle w:val="null3"/>
                  </w:pPr>
                  <w:r>
                    <w:rPr>
                      <w:rFonts w:ascii="仿宋_GB2312" w:hAnsi="仿宋_GB2312" w:cs="仿宋_GB2312" w:eastAsia="仿宋_GB2312"/>
                    </w:rPr>
                    <w:t>建成通车日期</w:t>
                  </w:r>
                </w:p>
              </w:tc>
              <w:tc>
                <w:tcPr>
                  <w:tcW w:type="dxa" w:w="319"/>
                </w:tcPr>
                <w:p>
                  <w:pPr>
                    <w:pStyle w:val="null3"/>
                  </w:pPr>
                  <w:r>
                    <w:rPr>
                      <w:rFonts w:ascii="仿宋_GB2312" w:hAnsi="仿宋_GB2312" w:cs="仿宋_GB2312" w:eastAsia="仿宋_GB2312"/>
                    </w:rPr>
                    <w:t>管理单位</w:t>
                  </w:r>
                </w:p>
              </w:tc>
              <w:tc>
                <w:tcPr>
                  <w:tcW w:type="dxa" w:w="319"/>
                </w:tcPr>
                <w:p>
                  <w:pPr>
                    <w:pStyle w:val="null3"/>
                  </w:pPr>
                  <w:r>
                    <w:rPr>
                      <w:rFonts w:ascii="仿宋_GB2312" w:hAnsi="仿宋_GB2312" w:cs="仿宋_GB2312" w:eastAsia="仿宋_GB2312"/>
                    </w:rPr>
                    <w:t>备注</w:t>
                  </w:r>
                </w:p>
              </w:tc>
            </w:tr>
            <w:tr>
              <w:tc>
                <w:tcPr>
                  <w:tcW w:type="dxa" w:w="319"/>
                </w:tcPr>
                <w:p>
                  <w:pPr>
                    <w:pStyle w:val="null3"/>
                  </w:pPr>
                  <w:r>
                    <w:rPr>
                      <w:rFonts w:ascii="仿宋_GB2312" w:hAnsi="仿宋_GB2312" w:cs="仿宋_GB2312" w:eastAsia="仿宋_GB2312"/>
                    </w:rPr>
                    <w:t>国道210耿镇渭河大桥</w:t>
                  </w:r>
                </w:p>
              </w:tc>
              <w:tc>
                <w:tcPr>
                  <w:tcW w:type="dxa" w:w="319"/>
                </w:tcPr>
                <w:p>
                  <w:pPr>
                    <w:pStyle w:val="null3"/>
                  </w:pPr>
                  <w:r>
                    <w:rPr>
                      <w:rFonts w:ascii="仿宋_GB2312" w:hAnsi="仿宋_GB2312" w:cs="仿宋_GB2312" w:eastAsia="仿宋_GB2312"/>
                    </w:rPr>
                    <w:t>G210</w:t>
                  </w:r>
                </w:p>
              </w:tc>
              <w:tc>
                <w:tcPr>
                  <w:tcW w:type="dxa" w:w="319"/>
                </w:tcPr>
                <w:p>
                  <w:pPr>
                    <w:pStyle w:val="null3"/>
                  </w:pPr>
                  <w:r>
                    <w:rPr>
                      <w:rFonts w:ascii="仿宋_GB2312" w:hAnsi="仿宋_GB2312" w:cs="仿宋_GB2312" w:eastAsia="仿宋_GB2312"/>
                    </w:rPr>
                    <w:t>二级公路</w:t>
                  </w:r>
                </w:p>
              </w:tc>
              <w:tc>
                <w:tcPr>
                  <w:tcW w:type="dxa" w:w="319"/>
                </w:tcPr>
                <w:p>
                  <w:pPr>
                    <w:pStyle w:val="null3"/>
                  </w:pPr>
                  <w:r>
                    <w:rPr>
                      <w:rFonts w:ascii="仿宋_GB2312" w:hAnsi="仿宋_GB2312" w:cs="仿宋_GB2312" w:eastAsia="仿宋_GB2312"/>
                    </w:rPr>
                    <w:t>946.28</w:t>
                  </w:r>
                </w:p>
              </w:tc>
              <w:tc>
                <w:tcPr>
                  <w:tcW w:type="dxa" w:w="319"/>
                </w:tcPr>
                <w:p>
                  <w:pPr>
                    <w:pStyle w:val="null3"/>
                  </w:pPr>
                  <w:r>
                    <w:rPr>
                      <w:rFonts w:ascii="仿宋_GB2312" w:hAnsi="仿宋_GB2312" w:cs="仿宋_GB2312" w:eastAsia="仿宋_GB2312"/>
                    </w:rPr>
                    <w:t>33.00</w:t>
                  </w:r>
                </w:p>
              </w:tc>
              <w:tc>
                <w:tcPr>
                  <w:tcW w:type="dxa" w:w="319"/>
                </w:tcPr>
                <w:p>
                  <w:pPr>
                    <w:pStyle w:val="null3"/>
                  </w:pPr>
                  <w:r>
                    <w:rPr>
                      <w:rFonts w:ascii="仿宋_GB2312" w:hAnsi="仿宋_GB2312" w:cs="仿宋_GB2312" w:eastAsia="仿宋_GB2312"/>
                    </w:rPr>
                    <w:t>1～15孔1965年建成通车；16~36孔于1995年增孔建设</w:t>
                  </w:r>
                </w:p>
              </w:tc>
              <w:tc>
                <w:tcPr>
                  <w:tcW w:type="dxa" w:w="319"/>
                </w:tcPr>
                <w:p>
                  <w:pPr>
                    <w:pStyle w:val="null3"/>
                  </w:pPr>
                  <w:r>
                    <w:rPr>
                      <w:rFonts w:ascii="仿宋_GB2312" w:hAnsi="仿宋_GB2312" w:cs="仿宋_GB2312" w:eastAsia="仿宋_GB2312"/>
                    </w:rPr>
                    <w:t>西安市公路局高陵公路段</w:t>
                  </w:r>
                </w:p>
              </w:tc>
              <w:tc>
                <w:tcPr>
                  <w:tcW w:type="dxa" w:w="319"/>
                </w:tcPr>
                <w:p>
                  <w:pPr>
                    <w:pStyle w:val="null3"/>
                  </w:pPr>
                  <w:r>
                    <w:rPr>
                      <w:rFonts w:ascii="仿宋_GB2312" w:hAnsi="仿宋_GB2312" w:cs="仿宋_GB2312" w:eastAsia="仿宋_GB2312"/>
                    </w:rPr>
                    <w:t>/</w:t>
                  </w:r>
                </w:p>
              </w:tc>
            </w:tr>
          </w:tbl>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具备履行合同所必需的人员且满足采购人需求。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具备履行合同所必需的设备且满足采购人需求。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合同签订之日至 2026年12月31日前提交成果资料</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（1）项目验收时，验收资料完整；（2）采购人要求的工作目标均已实现；（3）符合部省有关技术规范和要求，并已提交技术成果。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供应商提交项目全部成果并取得相关部门洪评批复，经采购人审核合格且无任何纠纷后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（2）未按合同要求提供的服务，采购人会同招标组织机构有权终止合同和对供应商的违约行为进行追究。 （3）如供应商不能按期完成工作任务，每逾期1日，供应商应按合同总金额的0.2%向采购人支付违约金，违约金累计不超过合同总金额的5%，逾期超过25天的，采购人有权单方面解除合同并保留追究供应商违约责任的权利，供应商除应承担违约责任外，还应退还采购人已支付的全部费用，给采购人造成损失的还应予以赔偿；如因采购人原因导致产品不能按期完成，供应商不用承担赔偿责任。 （4）如因供应商原因造成质量事故，采购人根据交通运输部《公路水运工程质量检测管理办法》的相关规定，报请交通运输主管部门对供应商予以查处，同时，产生的全部责任和损失均由供应商承担，采购人有权单方解除合同，供应商还应向采购人支付合同金额5%的惩罚性违约金。 （5）如合同因供应商违约导致解除的，供应商除应承担违约责任赔偿采购人损失外，已收的款项应退还采购人；采购人因供应商违约而产生的维权费用，包括但不局限于诉讼费、律师费、保全费、鉴定费、评估费、公证费、差旅费等费用，均由供应商承担。 （6）供应商应对其服务及服务成果的合法性、科学性、有效性、客观性、真实性负责，否则，相关责任及纠纷由供应商承担，对采购人造成损失的，供应商应予赔偿，此外，供应商还应向采购人承担合同总价款5%的违约金。 （7）合同执行中发生争议的，当事人双方应协商解决。协商达不成一致时，可向甲方所在地人民法院提请诉讼。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投标报价是供应商响应项目要求的全部工作内容的价格体现，包括但不限于供应商完成本项目的人工费、服务费、管理费、验收费、资料费、采购代理服务费、利润和税费；在提供服务的过程中的任何遗漏，均由成交供应商免费提供，采购人将不再支付任何费用。（2）如采购文件中融资相关内容与新政策要求有出入，按照最新要求执行。（3）顺利推进本项目政府采购工作，供应商须在陕西省政府采购电子化交易平台上传电子版响应文件并完成签章、加密，同时，线下递交纸质版响应文件正本一份。若电子版响应文件与纸质版响应文件不一致的，以陕西省政府采购电子化交易平台上传的电子版响应文件为准。纸质版投标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应当经过注册会计师行业统一监管平台备案赋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 项目管理、监理、检测等服务；</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1报价表.docx 标的清单 2分项报价表.docx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完整无缺项，无选择性报价，且未超过最高限价</w:t>
            </w:r>
          </w:p>
        </w:tc>
        <w:tc>
          <w:tcPr>
            <w:tcW w:type="dxa" w:w="1661"/>
          </w:tcPr>
          <w:p>
            <w:pPr>
              <w:pStyle w:val="null3"/>
            </w:pPr>
            <w:r>
              <w:rPr>
                <w:rFonts w:ascii="仿宋_GB2312" w:hAnsi="仿宋_GB2312" w:cs="仿宋_GB2312" w:eastAsia="仿宋_GB2312"/>
              </w:rPr>
              <w:t>1报价表.docx 标的清单 2分项报价表.docx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中小企业声明函 8项目服务方案.docx 9工作计划及阶段保障措施.docx 报价表 6商务偏离表.docx 15供应商认为有必要说明的其他资料.docx 4供应商承诺书.docx 响应文件封面 11成果保障及验收方案.docx 1报价表.docx 残疾人福利性单位声明函 13项目人员经验.docx 标的清单 2分项报价表.docx 12项目团队配置.docx 响应函 3资格证明文件.docx 监狱企业的证明文件 10服务及安全保障方案.docx 14业绩统计表.docx 5服务偏离表.docx 7项目理解及难点分析方案.docx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6商务偏离表.docx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中小企业声明函 8项目服务方案.docx 9工作计划及阶段保障措施.docx 报价表 6商务偏离表.docx 15供应商认为有必要说明的其他资料.docx 4供应商承诺书.docx 响应文件封面 11成果保障及验收方案.docx 1报价表.docx 残疾人福利性单位声明函 13项目人员经验.docx 标的清单 2分项报价表.docx 12项目团队配置.docx 响应函 3资格证明文件.docx 监狱企业的证明文件 10服务及安全保障方案.docx 14业绩统计表.docx 5服务偏离表.docx 7项目理解及难点分析方案.docx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项目理解及难点分析方案</w:t>
            </w:r>
          </w:p>
        </w:tc>
        <w:tc>
          <w:tcPr>
            <w:tcW w:type="dxa" w:w="2492"/>
          </w:tcPr>
          <w:p>
            <w:pPr>
              <w:pStyle w:val="null3"/>
            </w:pPr>
            <w:r>
              <w:rPr>
                <w:rFonts w:ascii="仿宋_GB2312" w:hAnsi="仿宋_GB2312" w:cs="仿宋_GB2312" w:eastAsia="仿宋_GB2312"/>
              </w:rPr>
              <w:t>一、评审内容 针对本项目提供项目理解及难点分析方案，包括但不限于：①对项目整体内容的理解；②重难点分析、关键问题分析及应对方案；③针对本项目实施的合理化建议。 二、评审标准 1、完整性：方案须全面，对评审内容中的各项要求有详细描述； 2、可实施性：切合本项目实际情况，实施步骤清晰、合理； 3、针对性：方案能够紧扣项目实际情况，内容科学合理。 三、赋分依据（满分9分） ①对项目整体内容的理解：每完全满足一个评审标准得1分，满分3分； ②重难点分析、关键问题分析及应对方案：每完全满足一个评审标准得1分，满分3分； ③针对本项目实施的合理化建议：每完全满足一个评审标准得1分，满分3分。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7项目理解及难点分析方案.docx</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 针对本项目提供项目服务方案，包括但不限于：①项目实施总体流程、思路及相关技术规范等；②现场勘察及断面、地形测量方案；③桥梁专项检测及荷载试验检测方法；④基础资料的整理分析方案（主要内容分析及工作方法）；⑤河道演变分析方案（主要内容分析及工作方法）；⑥洪水影响评价计算方案（工作内容及工作方法）；⑦洪水影响综合评价方案；⑧消除和减轻措施的制定方案； 二、评审标准 1、完整性：方案须全面，对评审内容中的各项要求有详细描述； 2、可实施性：切合本项目实际情况，实施步骤清晰、合理； 3、针对性：方案能够紧扣项目实际情况，内容科学合理。 三、赋分依据（满分24分） ①项目实施总体流程、思路及相关技术规范等：每完全满足一个评审标准得1分，满分3分。 ②现场勘察及断面、地形测量方案：每完全满足一个评审标准得1分，满分3分。 ③桥梁专项检测及荷载试验检测方法：每完全满足一个评审标准得1分，满分3分。 ④基础资料的整理分析方案（主要内容分析及工作方法）：每完全满足一个评审标准得1分，满分3分。 ⑤河道演变分析方案（主要内容分析及工作方法）：每完全满足一个评审标准得1分，满分3分。 ⑥洪水影响评价计算方案（工作内容及工作方法）：每完全满足一个评审标准得1分，满分3分。 ⑦洪水影响综合评价方案：每完全满足一个评审标准得1分，满分3分。 ⑧消除和减轻措施的制定方案：每完全满足一个评审标准得1分，满分3分。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8项目服务方案.docx</w:t>
            </w:r>
          </w:p>
        </w:tc>
      </w:tr>
      <w:tr>
        <w:tc>
          <w:tcPr>
            <w:tcW w:type="dxa" w:w="831"/>
            <w:vMerge/>
          </w:tcPr>
          <w:p/>
        </w:tc>
        <w:tc>
          <w:tcPr>
            <w:tcW w:type="dxa" w:w="1661"/>
          </w:tcPr>
          <w:p>
            <w:pPr>
              <w:pStyle w:val="null3"/>
            </w:pPr>
            <w:r>
              <w:rPr>
                <w:rFonts w:ascii="仿宋_GB2312" w:hAnsi="仿宋_GB2312" w:cs="仿宋_GB2312" w:eastAsia="仿宋_GB2312"/>
              </w:rPr>
              <w:t>工作计划及阶段保障措施</w:t>
            </w:r>
          </w:p>
        </w:tc>
        <w:tc>
          <w:tcPr>
            <w:tcW w:type="dxa" w:w="2492"/>
          </w:tcPr>
          <w:p>
            <w:pPr>
              <w:pStyle w:val="null3"/>
            </w:pPr>
            <w:r>
              <w:rPr>
                <w:rFonts w:ascii="仿宋_GB2312" w:hAnsi="仿宋_GB2312" w:cs="仿宋_GB2312" w:eastAsia="仿宋_GB2312"/>
              </w:rPr>
              <w:t>一、评审内容 针对本项目提供工作计划及阶段保障措施，包括但不限于：①工作计划及进度安排；②项目沟通机制及工作汇报安排；③阶段保障措施（断面资料收集阶段、桥梁整治方案编辑阶段、洪评结果与设计沟通阶段） 二、评审标准 1、完整性：方案须全面，对评审内容中的各项要求有详细描述； 2、可实施性：切合本项目实际情况，实施步骤清晰、合理； 3、针对性：方案能够紧扣项目实际情况，内容科学合理。 三、赋分依据（满分9分） ①工作计划及进度安排：每完全满足一个评审标准得1分，满分3分。 ②项目沟通机制及工作汇报安排：每完全满足一个评审标准得1分，满分3分。 ③阶段保障措施（断面资料收集阶段、桥梁整治方案编辑阶段、洪评结果与设计沟通阶段）：每完全满足一个评审标准得1分，满分3分。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9工作计划及阶段保障措施.docx</w:t>
            </w:r>
          </w:p>
        </w:tc>
      </w:tr>
      <w:tr>
        <w:tc>
          <w:tcPr>
            <w:tcW w:type="dxa" w:w="831"/>
            <w:vMerge/>
          </w:tcPr>
          <w:p/>
        </w:tc>
        <w:tc>
          <w:tcPr>
            <w:tcW w:type="dxa" w:w="1661"/>
          </w:tcPr>
          <w:p>
            <w:pPr>
              <w:pStyle w:val="null3"/>
            </w:pPr>
            <w:r>
              <w:rPr>
                <w:rFonts w:ascii="仿宋_GB2312" w:hAnsi="仿宋_GB2312" w:cs="仿宋_GB2312" w:eastAsia="仿宋_GB2312"/>
              </w:rPr>
              <w:t>服务及安全保障方案</w:t>
            </w:r>
          </w:p>
        </w:tc>
        <w:tc>
          <w:tcPr>
            <w:tcW w:type="dxa" w:w="2492"/>
          </w:tcPr>
          <w:p>
            <w:pPr>
              <w:pStyle w:val="null3"/>
            </w:pPr>
            <w:r>
              <w:rPr>
                <w:rFonts w:ascii="仿宋_GB2312" w:hAnsi="仿宋_GB2312" w:cs="仿宋_GB2312" w:eastAsia="仿宋_GB2312"/>
              </w:rPr>
              <w:t>一、评审内容 针对本项目提供服务及安全保障方案，包括但不限于：①整体服务质量与安全保障方案；②安全培训与安全作业保障措施；③施工作业方案；④第三方责任保险方案。 二、评审标准 1、完整性：方案须全面，对评审内容中的各项要求有详细描述； 2、可实施性：切合本项目实际情况，实施步骤清晰、合理； 3、针对性：方案能够紧扣项目实际情况，内容科学合理。 三、赋分依据（满分12分） ①整体服务质量与安全保障方案：每完全满足一个评审标准得1分，满分3分。 ②安全培训与安全作业保障措施：每完全满足一个评审标准得1分，满分3分。 ③施工作业方案：每完全满足一个评审标准得1分，满分3分。 ④第三方责任保险方案： 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10服务及安全保障方案.docx</w:t>
            </w:r>
          </w:p>
        </w:tc>
      </w:tr>
      <w:tr>
        <w:tc>
          <w:tcPr>
            <w:tcW w:type="dxa" w:w="831"/>
            <w:vMerge/>
          </w:tcPr>
          <w:p/>
        </w:tc>
        <w:tc>
          <w:tcPr>
            <w:tcW w:type="dxa" w:w="1661"/>
          </w:tcPr>
          <w:p>
            <w:pPr>
              <w:pStyle w:val="null3"/>
            </w:pPr>
            <w:r>
              <w:rPr>
                <w:rFonts w:ascii="仿宋_GB2312" w:hAnsi="仿宋_GB2312" w:cs="仿宋_GB2312" w:eastAsia="仿宋_GB2312"/>
              </w:rPr>
              <w:t>成果保障及验收方案</w:t>
            </w:r>
          </w:p>
        </w:tc>
        <w:tc>
          <w:tcPr>
            <w:tcW w:type="dxa" w:w="2492"/>
          </w:tcPr>
          <w:p>
            <w:pPr>
              <w:pStyle w:val="null3"/>
            </w:pPr>
            <w:r>
              <w:rPr>
                <w:rFonts w:ascii="仿宋_GB2312" w:hAnsi="仿宋_GB2312" w:cs="仿宋_GB2312" w:eastAsia="仿宋_GB2312"/>
              </w:rPr>
              <w:t>一、评审内容 针对本项目提供成果保障及验收方案，包括但不限于：①项目报告的编制及制图方案；②项目报告的评审及报批方案；③成果验收方法、标准、流程。 二、评审标准 1、完整性：方案须全面，对评审内容中的各项要求有详细描述； 2、可实施性：切合本项目实际情况，实施步骤清晰、合理； 3、针对性：方案能够紧扣项目实际情况，内容科学合理。 三、赋分依据（满分9分） ①项目报告的编制及制图方案：每完全满足一个评审标准得1分，满分3分。 ②项目报告的评审及报批方案：每完全满足一个评审标准得1分，满分3分。 ③成果验收方法、标准、流程：每完全满足一个评审标准得1分，满分3分。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11成果保障及验收方案.docx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 针对本项目提供项目团队配置，包括但不限于：①团队组织架构；②人员构成及分工；③岗位设置及岗位责任制度。 二、评审标准 1、完整性：方案须全面，对评审内容中的各项要求有详细描述。 2、可实施性：切合本项目实际情况，实施步骤清晰、合理。 3、针对性：方案能够紧扣项目实际情况，内容科学合理。 三、赋分依据（满分9分） ①团队组织架构：每完全满足一个评审标准得1分，满分3分； ②人员构成及分工：每完全满足一个评审标准得1分，满分3分； ③岗位设置及岗位责任制度：每完全满足一个评审标准得1分，满分3分。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12项目团队配置.docx</w:t>
            </w:r>
          </w:p>
        </w:tc>
      </w:tr>
      <w:tr>
        <w:tc>
          <w:tcPr>
            <w:tcW w:type="dxa" w:w="831"/>
            <w:vMerge/>
          </w:tcPr>
          <w:p/>
        </w:tc>
        <w:tc>
          <w:tcPr>
            <w:tcW w:type="dxa" w:w="1661"/>
          </w:tcPr>
          <w:p>
            <w:pPr>
              <w:pStyle w:val="null3"/>
            </w:pPr>
            <w:r>
              <w:rPr>
                <w:rFonts w:ascii="仿宋_GB2312" w:hAnsi="仿宋_GB2312" w:cs="仿宋_GB2312" w:eastAsia="仿宋_GB2312"/>
              </w:rPr>
              <w:t>项目人员经验</w:t>
            </w:r>
          </w:p>
        </w:tc>
        <w:tc>
          <w:tcPr>
            <w:tcW w:type="dxa" w:w="2492"/>
          </w:tcPr>
          <w:p>
            <w:pPr>
              <w:pStyle w:val="null3"/>
            </w:pPr>
            <w:r>
              <w:rPr>
                <w:rFonts w:ascii="仿宋_GB2312" w:hAnsi="仿宋_GB2312" w:cs="仿宋_GB2312" w:eastAsia="仿宋_GB2312"/>
              </w:rPr>
              <w:t>1、项目负责人1人，具有水利工程相关专业高级及以上职称，得3分，不满足以上要求不得分； 2、供应商拟投入本项目的团队人员具有具备水利工程专业中级及以上技术职称每提供一个得1分，最高得5分。 注：须提供团队人员的资格证或职称证复印件及文件递交截止时间前六个月内任意一个月本单位为其缴纳的社保证明，否则不得分。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13项目人员经验.docx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自2022年1月1日以来（以合同签订时间为准），供应商承接过洪水影响评价项目的业绩合同，每提供一个项目得2分，最高得10分。 注：须提供合同关键页（包含签订合同双方的单位名称、项目名称、项目内容、双方签字盖章页及合同签订日期等）复印件，否则不得分。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1报价表.docx</w:t>
            </w:r>
          </w:p>
          <w:p>
            <w:pPr>
              <w:pStyle w:val="null3"/>
            </w:pPr>
            <w:r>
              <w:rPr>
                <w:rFonts w:ascii="仿宋_GB2312" w:hAnsi="仿宋_GB2312" w:cs="仿宋_GB2312" w:eastAsia="仿宋_GB2312"/>
              </w:rPr>
              <w:t>2分项报价表.docx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详见附件：1报价表.docx</w:t>
      </w:r>
    </w:p>
    <w:p>
      <w:pPr>
        <w:pStyle w:val="null3"/>
        <w:ind w:firstLine="960"/>
      </w:pPr>
      <w:r>
        <w:rPr>
          <w:rFonts w:ascii="仿宋_GB2312" w:hAnsi="仿宋_GB2312" w:cs="仿宋_GB2312" w:eastAsia="仿宋_GB2312"/>
        </w:rPr>
        <w:t>详见附件：2分项报价表.docx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详见附件：4供应商承诺书.docx</w:t>
      </w:r>
    </w:p>
    <w:p>
      <w:pPr>
        <w:pStyle w:val="null3"/>
        <w:ind w:firstLine="960"/>
      </w:pPr>
      <w:r>
        <w:rPr>
          <w:rFonts w:ascii="仿宋_GB2312" w:hAnsi="仿宋_GB2312" w:cs="仿宋_GB2312" w:eastAsia="仿宋_GB2312"/>
        </w:rPr>
        <w:t>详见附件：5服务偏离表.docx</w:t>
      </w:r>
    </w:p>
    <w:p>
      <w:pPr>
        <w:pStyle w:val="null3"/>
        <w:ind w:firstLine="960"/>
      </w:pPr>
      <w:r>
        <w:rPr>
          <w:rFonts w:ascii="仿宋_GB2312" w:hAnsi="仿宋_GB2312" w:cs="仿宋_GB2312" w:eastAsia="仿宋_GB2312"/>
        </w:rPr>
        <w:t>详见附件：6商务偏离表.docx</w:t>
      </w:r>
    </w:p>
    <w:p>
      <w:pPr>
        <w:pStyle w:val="null3"/>
        <w:ind w:firstLine="960"/>
      </w:pPr>
      <w:r>
        <w:rPr>
          <w:rFonts w:ascii="仿宋_GB2312" w:hAnsi="仿宋_GB2312" w:cs="仿宋_GB2312" w:eastAsia="仿宋_GB2312"/>
        </w:rPr>
        <w:t>详见附件：7项目理解及难点分析方案.docx</w:t>
      </w:r>
    </w:p>
    <w:p>
      <w:pPr>
        <w:pStyle w:val="null3"/>
        <w:ind w:firstLine="960"/>
      </w:pPr>
      <w:r>
        <w:rPr>
          <w:rFonts w:ascii="仿宋_GB2312" w:hAnsi="仿宋_GB2312" w:cs="仿宋_GB2312" w:eastAsia="仿宋_GB2312"/>
        </w:rPr>
        <w:t>详见附件：8项目服务方案.docx</w:t>
      </w:r>
    </w:p>
    <w:p>
      <w:pPr>
        <w:pStyle w:val="null3"/>
        <w:ind w:firstLine="960"/>
      </w:pPr>
      <w:r>
        <w:rPr>
          <w:rFonts w:ascii="仿宋_GB2312" w:hAnsi="仿宋_GB2312" w:cs="仿宋_GB2312" w:eastAsia="仿宋_GB2312"/>
        </w:rPr>
        <w:t>详见附件：9工作计划及阶段保障措施.docx</w:t>
      </w:r>
    </w:p>
    <w:p>
      <w:pPr>
        <w:pStyle w:val="null3"/>
        <w:ind w:firstLine="960"/>
      </w:pPr>
      <w:r>
        <w:rPr>
          <w:rFonts w:ascii="仿宋_GB2312" w:hAnsi="仿宋_GB2312" w:cs="仿宋_GB2312" w:eastAsia="仿宋_GB2312"/>
        </w:rPr>
        <w:t>详见附件：10服务及安全保障方案.docx</w:t>
      </w:r>
    </w:p>
    <w:p>
      <w:pPr>
        <w:pStyle w:val="null3"/>
        <w:ind w:firstLine="960"/>
      </w:pPr>
      <w:r>
        <w:rPr>
          <w:rFonts w:ascii="仿宋_GB2312" w:hAnsi="仿宋_GB2312" w:cs="仿宋_GB2312" w:eastAsia="仿宋_GB2312"/>
        </w:rPr>
        <w:t>详见附件：11成果保障及验收方案.docx</w:t>
      </w:r>
    </w:p>
    <w:p>
      <w:pPr>
        <w:pStyle w:val="null3"/>
        <w:ind w:firstLine="960"/>
      </w:pPr>
      <w:r>
        <w:rPr>
          <w:rFonts w:ascii="仿宋_GB2312" w:hAnsi="仿宋_GB2312" w:cs="仿宋_GB2312" w:eastAsia="仿宋_GB2312"/>
        </w:rPr>
        <w:t>详见附件：12项目团队配置.docx</w:t>
      </w:r>
    </w:p>
    <w:p>
      <w:pPr>
        <w:pStyle w:val="null3"/>
        <w:ind w:firstLine="960"/>
      </w:pPr>
      <w:r>
        <w:rPr>
          <w:rFonts w:ascii="仿宋_GB2312" w:hAnsi="仿宋_GB2312" w:cs="仿宋_GB2312" w:eastAsia="仿宋_GB2312"/>
        </w:rPr>
        <w:t>详见附件：13项目人员经验.docx</w:t>
      </w:r>
    </w:p>
    <w:p>
      <w:pPr>
        <w:pStyle w:val="null3"/>
        <w:ind w:firstLine="960"/>
      </w:pPr>
      <w:r>
        <w:rPr>
          <w:rFonts w:ascii="仿宋_GB2312" w:hAnsi="仿宋_GB2312" w:cs="仿宋_GB2312" w:eastAsia="仿宋_GB2312"/>
        </w:rPr>
        <w:t>详见附件：14业绩统计表.docx</w:t>
      </w:r>
    </w:p>
    <w:p>
      <w:pPr>
        <w:pStyle w:val="null3"/>
        <w:ind w:firstLine="960"/>
      </w:pPr>
      <w:r>
        <w:rPr>
          <w:rFonts w:ascii="仿宋_GB2312" w:hAnsi="仿宋_GB2312" w:cs="仿宋_GB2312" w:eastAsia="仿宋_GB2312"/>
        </w:rPr>
        <w:t>详见附件：15供应商认为有必要说明的其他资料.docx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