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版本号：SZT2025-SN-XC-ZC-HW-117020260120001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西安市身份证识别器和疫苗PDA手持终端采购项目(三次)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SZT2025-SN-XC-ZC-HW-1170</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西安市身份证识别器和疫苗PDA手持终端采购项目(三次)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SZT2025-SN-XC-ZC-HW-1170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西安市身份证识别器和疫苗PDA手持终端采购项目(三次)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采购疫苗PDA手持终端18个；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参与：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029-85525039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不足肆仟元整按肆仟元计取。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采购疫苗PDA手持终端18个；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疫苗PDA手持终端,</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标的名称：疫苗PDA手持终端,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67"/>
              <w:gridCol w:w="68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西安市疾病预防控制中心西安市身份证识别器和疫苗</w:t>
                  </w:r>
                  <w:r>
                    <w:rPr>
                      <w:rFonts w:ascii="仿宋_GB2312" w:hAnsi="仿宋_GB2312" w:cs="仿宋_GB2312" w:eastAsia="仿宋_GB2312"/>
                      <w:sz w:val="24"/>
                      <w:color w:val="000000"/>
                    </w:rPr>
                    <w:t>PDA手持终端采购项目采购清单</w:t>
                  </w:r>
                </w:p>
              </w:tc>
            </w:tr>
            <w:tr>
              <w:tc>
                <w:tcPr>
                  <w:tcW w:type="dxa" w:w="18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6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数量（个）</w:t>
                  </w:r>
                </w:p>
              </w:tc>
            </w:tr>
            <w:tr>
              <w:tc>
                <w:tcPr>
                  <w:tcW w:type="dxa" w:w="1867"/>
                  <w:vMerge/>
                  <w:tcBorders>
                    <w:top w:val="none" w:color="000000" w:sz="4"/>
                    <w:left w:val="single" w:color="000000" w:sz="4"/>
                    <w:bottom w:val="single" w:color="000000" w:sz="4"/>
                    <w:right w:val="single" w:color="000000" w:sz="4"/>
                  </w:tcBorders>
                </w:tcPr>
                <w:p/>
              </w:tc>
              <w:tc>
                <w:tcPr>
                  <w:tcW w:type="dxa" w:w="686"/>
                  <w:vMerge/>
                  <w:tcBorders>
                    <w:top w:val="single" w:color="000000" w:sz="4"/>
                    <w:left w:val="none" w:color="000000" w:sz="4"/>
                    <w:bottom w:val="single" w:color="000000" w:sz="4"/>
                    <w:right w:val="single" w:color="000000" w:sz="4"/>
                  </w:tcBorders>
                </w:tcPr>
                <w:p/>
              </w:tc>
            </w:tr>
            <w:tr>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疫苗</w:t>
                  </w:r>
                  <w:r>
                    <w:rPr>
                      <w:rFonts w:ascii="仿宋_GB2312" w:hAnsi="仿宋_GB2312" w:cs="仿宋_GB2312" w:eastAsia="仿宋_GB2312"/>
                      <w:sz w:val="24"/>
                      <w:color w:val="000000"/>
                    </w:rPr>
                    <w:t>PDA手持终端</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PDA参数</w:t>
            </w:r>
          </w:p>
          <w:p>
            <w:pPr>
              <w:pStyle w:val="null3"/>
              <w:jc w:val="left"/>
            </w:pPr>
            <w:r>
              <w:rPr>
                <w:rFonts w:ascii="仿宋_GB2312" w:hAnsi="仿宋_GB2312" w:cs="仿宋_GB2312" w:eastAsia="仿宋_GB2312"/>
                <w:sz w:val="24"/>
                <w:b/>
                <w:color w:val="000000"/>
              </w:rPr>
              <w:t>1.技术指标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1）通讯方式：支持WiFi2.4G双频；支持蓝牙4.0及以上通讯。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2）内存：RAM≥2GB；ROM≥16GB；电池容量：电池容量≥4000mAh；电池在开机情况下，续航≥600分钟。</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3）工作环境：符合跌落测试要求，环境湿度5%～95%（无凝结）、工作温度：-10℃-50℃，可长时间工作。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4）配件：含保护套、挂绳、高清膜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5）具备条码扫描功能，支持药品、疫苗追溯码扫描，具备补光灯支持暗环境扫码。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6）与陕西省疫苗全程追溯平台对接实现库存实时查看，近效期库存查看，过期库存查看，支持疫苗库存出入库，确保疫苗扫码的便利性、顺畅性和准确性。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与陕西省疫苗全程追溯平台采购入库，退货入库，上级发货对接，可自动获取出入库单据信息，用户可直接选择出入库单据获取本次出入库信息，直接进行疫苗出入库操作。（需现场系统演示调取省免疫规划系统档案、如不能演示必须提供承诺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8）支持多种入库单据类型，包括采购入库、上级发货入库、退货入库、拒收入库、报废入库单据。支持多种出库类型，包括疫苗出库、退货出库、计划出库、报废出库、损坏出库单据。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9）与陕西省疫苗全程追溯平台对接，采购入库、退货入库、上级发货入库完成扫码后，支持在移动数据终端进行审核，审核完成后，疫苗库存实时同步至疫苗全程追溯平台。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10）支持月度盘点、疫苗转移、疫苗盘点等功能，支持用户每个月针对本单位库存进行实物清点，根据实物信息核对系统库存；支持疫苗存储转移，转移存储位置后，在疫苗全程追溯平台实现实时流转记录。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与陕西省疫苗全程追溯平台对接，扫描追溯码进行出入库时，可实时获取码信息，并同步开展精准校验。校验机制紧密关联出入库单据及疫苗信息，针对扫码所获疫苗信息与单据记载详情不相契合的情况，系统将即刻启动异常提示功能，精准反馈 “扫码异常” 的警示信息，有效拦截错误信息流入出入库作业流程，切实保障疫苗出入库数据的准确性与完整性。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12）支持批量快速扫码、同时支持扫描多个追溯码，并同时对多个追溯码完成校验。</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13）操作系统：</w:t>
            </w:r>
            <w:r>
              <w:rPr>
                <w:rFonts w:ascii="仿宋_GB2312" w:hAnsi="仿宋_GB2312" w:cs="仿宋_GB2312" w:eastAsia="仿宋_GB2312"/>
                <w:sz w:val="24"/>
                <w:color w:val="000000"/>
              </w:rPr>
              <w:t>≥Android 7.1</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14）摄像头：前置摄像头≥200万像素；后置摄像头≥1300万像素，自动对焦；支持闪光灯；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15）通讯：Type C USB接口；</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16）扫描：1、支持一维、二维码扫描，能对疫苗多种条码进行迅速、准确地解码。2、可自定义扫描按键，支持连续扫描。3、条码扫描提醒方式可自由设定,可在声音、震动、声音+震动三种模式间切换；</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17）扫描按键：有固定扫描按键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18）显示屏：电容式多点触摸。支持湿手或戴手套输入。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19）固件升级：支持在线系统升级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20）抗摔性能：抗摔性能≥1.5米</w:t>
            </w:r>
          </w:p>
          <w:p>
            <w:pPr>
              <w:pStyle w:val="null3"/>
              <w:jc w:val="left"/>
            </w:pPr>
            <w:r>
              <w:rPr>
                <w:rFonts w:ascii="仿宋_GB2312" w:hAnsi="仿宋_GB2312" w:cs="仿宋_GB2312" w:eastAsia="仿宋_GB2312"/>
                <w:sz w:val="24"/>
                <w:color w:val="000000"/>
              </w:rPr>
              <w:t>2.服务指标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1）承诺货物质保期为3年；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2）承诺用户问题1小时响应，8小时远程或上门处理 ，48小时内解决用户问题；</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3）承诺为使用方提供使用培训。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合同签订接采购人通知后10个日历日内完成交付。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合同签订后，乙方须按其响应文件中响应的供货期按时交货并提供全额合规发票，保证“货票同行”。货物到达甲方指定地点，验收合格后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自设备安装调试并正常投入使用后起,货物质保期3年。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1、根据采购人档案管理要求，供应商需要在线提交所有通过电子化交易平台实施的政府采购项目的响应文件，同时，线下提交响应文件正本 壹 份、副本 贰 份（响应文件双面打印）（纸质文件需在磋商当日递交响应文件截止时间前送达，不接受邮寄。）。若系统电子响应文件与纸质响应文件不一致的，以系统电子响应文件为准。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供应商需在项目电子化交易系统中按要求填写《响应函》完成承诺并进行电子签章。线上电子响应文件应按磋商文件要求进行签字，盖章。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合同签订接采购人通知后10个日历日内完成交付。</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合同签订后，乙方须按其响应文件中响应的供货期按时交货并提供全额合规发票，保证“货票同行”。设备验收合格后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自设备安装调试并正常投入使用后起,货物质保期3年。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所投产品的技术指标评审：技术参数规格明确，满足采购人应用的需求，对每个设备都进行明确响应，满足磋商文件要求得20分。参数指标每有一项负偏离扣1分，扣完为止。 注：1、参数指标需提供证明材料，未提供证明材料认定为负偏离，证明材料不限于产品彩页、官网截图、检测报告、技术说明书等。 2、磋商小组认为响应文件技术参数响应完全复制采购文件技术指标要求的，无明确、具体响应的，给予5分扣分。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承诺函-包2.docx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供应商提供针对本项目的实施方案，至少包含：1、供货组织安排、安装、检测、调试措施；2、实施步骤、进度计划和保证措施；3、安全控制方案及质量措施；4、组织机构人员配置、协调能力；5、验收方案等。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质量保证完善，符合国际、国内相关标准或行业标准，维修及更换频次低；4、投标产品操纵和控制系统功能完整，界面布局简洁，清楚，逻辑明确；5、设备的安全防护措施完善，安全可靠性高。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至少包含：1、售后服务机构健全，能够提供高效服务的，具有相应的物力、人力保障；2、在设备使用过程中出现问题答复时间、到达现场时间、解决问题时间承诺函；3、退/调换货及设备维保方案；4、应急补救措施或方案；5、质保期结束后的产品维护方案及维护费用收取标准。 共5项内容，每项满分2分。方案内容完整，完全符合采购人实际需求，得满分，每有一处内容存在缺陷，扣0.5分，扣完为止。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样机展示</w:t>
            </w:r>
          </w:p>
        </w:tc>
        <w:tc>
          <w:tcPr>
            <w:tcW w:type="dxa" w:w="2492"/>
          </w:tcPr>
          <w:p>
            <w:pPr>
              <w:pStyle w:val="null3"/>
            </w:pPr>
            <w:r>
              <w:rPr>
                <w:rFonts w:ascii="仿宋_GB2312" w:hAnsi="仿宋_GB2312" w:cs="仿宋_GB2312" w:eastAsia="仿宋_GB2312"/>
              </w:rPr>
              <w:t>提供产品样机，根据1、产品外观、材质；2、操作方式；3、人机适宜度；产品功能进行赋分。 共3项内容，每项满分3分。外观精美、材质选择先进、产品设计科学、操作简便、人机适宜性强、功能符合采购需求的得满分，每有一处内容存在不足，扣0.5分，扣完为止。 注：样机密封完好同纸质响应文件一同提交。开标结束全部退还。</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承诺函-包2.docx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供应商提供针对本项目的合理化建议和增值服务方案（如延长质保期等）。 1、提供的合理化建议及服务承诺函内容全面，有针对性，有利于项目后期实施得3分； 2、合理化建议或者增值服务内容简单但基本可行得2分； 3、合理化建议及服务承诺函有缺项、可实施性较差计 1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供应商自2022年1月1日以来同类产品业绩，每提供1份完整有效的合同得1分，共5分。（以合同签订时间为准）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采用低价优先法计算，即实质性满足磋商文件要求且投标价格最低的投标报价为评标基准价，其价格分为满分30分。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详见附件：承诺函-包2.docx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