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CD57EF">
      <w:pPr>
        <w:jc w:val="center"/>
        <w:rPr>
          <w:rFonts w:hint="eastAsia" w:ascii="仿宋_GB2312" w:hAnsi="仿宋_GB2312" w:eastAsia="仿宋_GB2312" w:cs="仿宋_GB2312"/>
          <w:b/>
          <w:color w:val="auto"/>
          <w:sz w:val="72"/>
          <w:szCs w:val="72"/>
          <w:highlight w:val="none"/>
        </w:rPr>
      </w:pPr>
    </w:p>
    <w:p w14:paraId="4801F1B4">
      <w:pPr>
        <w:jc w:val="center"/>
        <w:rPr>
          <w:rFonts w:hint="eastAsia" w:ascii="仿宋_GB2312" w:hAnsi="仿宋_GB2312" w:eastAsia="仿宋_GB2312" w:cs="仿宋_GB2312"/>
          <w:b/>
          <w:color w:val="auto"/>
          <w:sz w:val="72"/>
          <w:szCs w:val="72"/>
          <w:highlight w:val="none"/>
        </w:rPr>
      </w:pPr>
    </w:p>
    <w:p w14:paraId="6CB88131">
      <w:pPr>
        <w:jc w:val="center"/>
        <w:rPr>
          <w:rFonts w:hint="eastAsia" w:ascii="仿宋_GB2312" w:hAnsi="仿宋_GB2312" w:eastAsia="仿宋_GB2312" w:cs="仿宋_GB2312"/>
          <w:b/>
          <w:color w:val="auto"/>
          <w:sz w:val="72"/>
          <w:szCs w:val="72"/>
          <w:highlight w:val="none"/>
        </w:rPr>
      </w:pPr>
    </w:p>
    <w:p w14:paraId="5DF7BC57">
      <w:pPr>
        <w:jc w:val="center"/>
        <w:rPr>
          <w:rFonts w:hint="eastAsia" w:ascii="仿宋_GB2312" w:hAnsi="仿宋_GB2312" w:eastAsia="仿宋_GB2312" w:cs="仿宋_GB2312"/>
          <w:b/>
          <w:color w:val="auto"/>
          <w:sz w:val="72"/>
          <w:szCs w:val="72"/>
          <w:highlight w:val="none"/>
        </w:rPr>
      </w:pPr>
    </w:p>
    <w:p w14:paraId="58817C62">
      <w:pPr>
        <w:jc w:val="center"/>
        <w:rPr>
          <w:rFonts w:hint="eastAsia" w:ascii="仿宋_GB2312" w:hAnsi="仿宋_GB2312" w:eastAsia="仿宋_GB2312" w:cs="仿宋_GB2312"/>
          <w:b/>
          <w:color w:val="auto"/>
          <w:sz w:val="72"/>
          <w:szCs w:val="72"/>
          <w:highlight w:val="none"/>
        </w:rPr>
      </w:pPr>
    </w:p>
    <w:p w14:paraId="578F1747">
      <w:pPr>
        <w:jc w:val="center"/>
        <w:rPr>
          <w:rFonts w:hint="eastAsia" w:ascii="仿宋_GB2312" w:hAnsi="仿宋_GB2312" w:eastAsia="仿宋_GB2312" w:cs="仿宋_GB2312"/>
          <w:b/>
          <w:color w:val="auto"/>
          <w:sz w:val="72"/>
          <w:szCs w:val="72"/>
          <w:highlight w:val="none"/>
        </w:rPr>
      </w:pPr>
      <w:bookmarkStart w:id="0" w:name="_GoBack"/>
      <w:bookmarkEnd w:id="0"/>
      <w:r>
        <w:rPr>
          <w:rFonts w:hint="eastAsia" w:ascii="仿宋_GB2312" w:hAnsi="仿宋_GB2312" w:eastAsia="仿宋_GB2312" w:cs="仿宋_GB2312"/>
          <w:b/>
          <w:color w:val="auto"/>
          <w:sz w:val="72"/>
          <w:szCs w:val="72"/>
          <w:highlight w:val="none"/>
        </w:rPr>
        <w:t>服 务 合 同</w:t>
      </w:r>
    </w:p>
    <w:p w14:paraId="27C9146D">
      <w:pPr>
        <w:jc w:val="center"/>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color w:val="auto"/>
          <w:sz w:val="32"/>
          <w:szCs w:val="32"/>
          <w:highlight w:val="none"/>
        </w:rPr>
        <w:t>（模板）</w:t>
      </w:r>
    </w:p>
    <w:p w14:paraId="0870A102">
      <w:pPr>
        <w:jc w:val="center"/>
        <w:rPr>
          <w:rFonts w:hint="eastAsia" w:ascii="仿宋_GB2312" w:hAnsi="仿宋_GB2312" w:eastAsia="仿宋_GB2312" w:cs="仿宋_GB2312"/>
          <w:color w:val="auto"/>
          <w:sz w:val="30"/>
          <w:szCs w:val="30"/>
          <w:highlight w:val="none"/>
        </w:rPr>
      </w:pPr>
    </w:p>
    <w:p w14:paraId="4172625D">
      <w:pPr>
        <w:jc w:val="center"/>
        <w:rPr>
          <w:rFonts w:hint="eastAsia" w:ascii="仿宋_GB2312" w:hAnsi="仿宋_GB2312" w:eastAsia="仿宋_GB2312" w:cs="仿宋_GB2312"/>
          <w:color w:val="auto"/>
          <w:sz w:val="30"/>
          <w:szCs w:val="30"/>
          <w:highlight w:val="none"/>
        </w:rPr>
      </w:pPr>
    </w:p>
    <w:p w14:paraId="7F004645">
      <w:pPr>
        <w:jc w:val="center"/>
        <w:rPr>
          <w:rFonts w:hint="eastAsia" w:ascii="仿宋_GB2312" w:hAnsi="仿宋_GB2312" w:eastAsia="仿宋_GB2312" w:cs="仿宋_GB2312"/>
          <w:color w:val="auto"/>
          <w:sz w:val="30"/>
          <w:szCs w:val="30"/>
          <w:highlight w:val="none"/>
        </w:rPr>
      </w:pPr>
    </w:p>
    <w:p w14:paraId="129E9CB1">
      <w:pPr>
        <w:jc w:val="center"/>
        <w:rPr>
          <w:rFonts w:hint="eastAsia" w:ascii="仿宋_GB2312" w:hAnsi="仿宋_GB2312" w:eastAsia="仿宋_GB2312" w:cs="仿宋_GB2312"/>
          <w:color w:val="auto"/>
          <w:sz w:val="30"/>
          <w:szCs w:val="30"/>
          <w:highlight w:val="none"/>
        </w:rPr>
      </w:pPr>
    </w:p>
    <w:p w14:paraId="1711801C">
      <w:pPr>
        <w:jc w:val="center"/>
        <w:rPr>
          <w:rFonts w:hint="eastAsia" w:ascii="仿宋_GB2312" w:hAnsi="仿宋_GB2312" w:eastAsia="仿宋_GB2312" w:cs="仿宋_GB2312"/>
          <w:color w:val="auto"/>
          <w:sz w:val="30"/>
          <w:szCs w:val="30"/>
          <w:highlight w:val="none"/>
        </w:rPr>
      </w:pPr>
    </w:p>
    <w:p w14:paraId="00FFA43E">
      <w:pPr>
        <w:jc w:val="center"/>
        <w:rPr>
          <w:rFonts w:hint="eastAsia" w:ascii="仿宋_GB2312" w:hAnsi="仿宋_GB2312" w:eastAsia="仿宋_GB2312" w:cs="仿宋_GB2312"/>
          <w:color w:val="auto"/>
          <w:sz w:val="28"/>
          <w:szCs w:val="28"/>
          <w:highlight w:val="none"/>
        </w:rPr>
      </w:pPr>
    </w:p>
    <w:p w14:paraId="22E0EF72">
      <w:pPr>
        <w:ind w:firstLine="2124" w:firstLineChars="664"/>
        <w:rPr>
          <w:rFonts w:hint="eastAsia" w:ascii="仿宋_GB2312" w:hAnsi="仿宋_GB2312" w:eastAsia="仿宋_GB2312" w:cs="仿宋_GB2312"/>
          <w:color w:val="auto"/>
          <w:sz w:val="32"/>
          <w:szCs w:val="32"/>
          <w:highlight w:val="none"/>
        </w:rPr>
      </w:pPr>
    </w:p>
    <w:p w14:paraId="57640C53">
      <w:pPr>
        <w:ind w:firstLine="2124" w:firstLineChars="664"/>
        <w:rPr>
          <w:rFonts w:hint="eastAsia" w:ascii="仿宋_GB2312" w:hAnsi="仿宋_GB2312" w:eastAsia="仿宋_GB2312" w:cs="仿宋_GB2312"/>
          <w:color w:val="auto"/>
          <w:sz w:val="32"/>
          <w:szCs w:val="32"/>
          <w:highlight w:val="none"/>
        </w:rPr>
      </w:pPr>
    </w:p>
    <w:p w14:paraId="7358E6B0">
      <w:pPr>
        <w:ind w:firstLine="2124" w:firstLineChars="664"/>
        <w:rPr>
          <w:rFonts w:hint="eastAsia" w:ascii="仿宋_GB2312" w:hAnsi="仿宋_GB2312" w:eastAsia="仿宋_GB2312" w:cs="仿宋_GB2312"/>
          <w:color w:val="auto"/>
          <w:sz w:val="32"/>
          <w:szCs w:val="32"/>
          <w:highlight w:val="none"/>
        </w:rPr>
      </w:pPr>
    </w:p>
    <w:p w14:paraId="3C2371C7">
      <w:pPr>
        <w:ind w:firstLine="2124" w:firstLineChars="664"/>
        <w:rPr>
          <w:rFonts w:hint="eastAsia" w:ascii="仿宋_GB2312" w:hAnsi="仿宋_GB2312" w:eastAsia="仿宋_GB2312" w:cs="仿宋_GB2312"/>
          <w:color w:val="auto"/>
          <w:sz w:val="32"/>
          <w:szCs w:val="32"/>
          <w:highlight w:val="none"/>
        </w:rPr>
      </w:pPr>
    </w:p>
    <w:p w14:paraId="51D0000C">
      <w:pPr>
        <w:ind w:firstLine="2124" w:firstLineChars="664"/>
        <w:rPr>
          <w:rFonts w:hint="eastAsia" w:ascii="仿宋_GB2312" w:hAnsi="仿宋_GB2312" w:eastAsia="仿宋_GB2312" w:cs="仿宋_GB2312"/>
          <w:color w:val="auto"/>
          <w:sz w:val="32"/>
          <w:szCs w:val="32"/>
          <w:highlight w:val="none"/>
          <w:u w:val="single"/>
          <w:lang w:val="en-US" w:eastAsia="zh-CN"/>
        </w:rPr>
      </w:pPr>
      <w:r>
        <w:rPr>
          <w:rFonts w:hint="eastAsia" w:ascii="仿宋_GB2312" w:hAnsi="仿宋_GB2312" w:eastAsia="仿宋_GB2312" w:cs="仿宋_GB2312"/>
          <w:color w:val="auto"/>
          <w:sz w:val="32"/>
          <w:szCs w:val="32"/>
          <w:highlight w:val="none"/>
        </w:rPr>
        <w:t>甲  方：</w:t>
      </w:r>
      <w:r>
        <w:rPr>
          <w:rFonts w:hint="eastAsia" w:ascii="仿宋_GB2312" w:hAnsi="仿宋_GB2312" w:eastAsia="仿宋_GB2312" w:cs="仿宋_GB2312"/>
          <w:color w:val="auto"/>
          <w:sz w:val="32"/>
          <w:szCs w:val="32"/>
          <w:highlight w:val="none"/>
          <w:u w:val="single"/>
          <w:lang w:val="en-US" w:eastAsia="zh-CN"/>
        </w:rPr>
        <w:t xml:space="preserve">                            </w:t>
      </w:r>
    </w:p>
    <w:p w14:paraId="5BBE2F44">
      <w:pPr>
        <w:tabs>
          <w:tab w:val="left" w:pos="480"/>
        </w:tabs>
        <w:ind w:firstLine="2124" w:firstLineChars="664"/>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乙  方：</w:t>
      </w:r>
      <w:r>
        <w:rPr>
          <w:rFonts w:hint="eastAsia" w:ascii="仿宋_GB2312" w:hAnsi="仿宋_GB2312" w:eastAsia="仿宋_GB2312" w:cs="仿宋_GB2312"/>
          <w:color w:val="auto"/>
          <w:sz w:val="32"/>
          <w:szCs w:val="32"/>
          <w:highlight w:val="none"/>
          <w:u w:val="single"/>
          <w:lang w:val="en-US" w:eastAsia="zh-CN"/>
        </w:rPr>
        <w:t xml:space="preserve">                            </w:t>
      </w:r>
    </w:p>
    <w:p w14:paraId="557A2F61">
      <w:pPr>
        <w:jc w:val="center"/>
        <w:rPr>
          <w:rFonts w:hint="eastAsia" w:ascii="仿宋_GB2312" w:hAnsi="仿宋_GB2312" w:eastAsia="仿宋_GB2312" w:cs="仿宋_GB2312"/>
          <w:color w:val="auto"/>
          <w:sz w:val="30"/>
          <w:szCs w:val="30"/>
          <w:highlight w:val="none"/>
        </w:rPr>
      </w:pPr>
    </w:p>
    <w:p w14:paraId="751ECD31">
      <w:pPr>
        <w:jc w:val="center"/>
        <w:rPr>
          <w:rFonts w:hint="eastAsia" w:ascii="仿宋_GB2312" w:hAnsi="仿宋_GB2312" w:eastAsia="仿宋_GB2312" w:cs="仿宋_GB2312"/>
          <w:color w:val="auto"/>
          <w:sz w:val="32"/>
          <w:szCs w:val="32"/>
          <w:highlight w:val="none"/>
          <w:lang w:eastAsia="zh-CN"/>
        </w:rPr>
      </w:pPr>
    </w:p>
    <w:p w14:paraId="6B810102">
      <w:pPr>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年   月</w:t>
      </w:r>
    </w:p>
    <w:p w14:paraId="69ED69C6">
      <w:pPr>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中国  西安</w:t>
      </w:r>
    </w:p>
    <w:p w14:paraId="62C82464">
      <w:pPr>
        <w:rPr>
          <w:rFonts w:hint="eastAsia" w:ascii="仿宋_GB2312" w:hAnsi="仿宋_GB2312" w:eastAsia="仿宋_GB2312" w:cs="仿宋_GB2312"/>
          <w:b/>
          <w:bCs/>
          <w:color w:val="auto"/>
          <w:sz w:val="24"/>
          <w:highlight w:val="none"/>
        </w:rPr>
      </w:pPr>
      <w:r>
        <w:rPr>
          <w:rFonts w:hint="eastAsia" w:ascii="仿宋_GB2312" w:hAnsi="仿宋_GB2312" w:eastAsia="仿宋_GB2312" w:cs="仿宋_GB2312"/>
          <w:b/>
          <w:bCs/>
          <w:color w:val="auto"/>
          <w:sz w:val="24"/>
          <w:highlight w:val="none"/>
        </w:rPr>
        <w:br w:type="page"/>
      </w:r>
    </w:p>
    <w:p w14:paraId="51AE531F">
      <w:pPr>
        <w:widowControl/>
        <w:adjustRightInd w:val="0"/>
        <w:snapToGrid w:val="0"/>
        <w:spacing w:line="360" w:lineRule="auto"/>
        <w:ind w:firstLine="422" w:firstLineChars="200"/>
        <w:textAlignment w:val="baseline"/>
        <w:rPr>
          <w:rFonts w:hint="eastAsia" w:ascii="仿宋_GB2312" w:hAnsi="仿宋_GB2312" w:eastAsia="仿宋_GB2312" w:cs="仿宋_GB2312"/>
          <w:b/>
          <w:bCs/>
          <w:color w:val="auto"/>
          <w:szCs w:val="21"/>
          <w:highlight w:val="none"/>
        </w:rPr>
      </w:pPr>
    </w:p>
    <w:p w14:paraId="00B502BE">
      <w:pPr>
        <w:widowControl/>
        <w:adjustRightInd w:val="0"/>
        <w:snapToGrid w:val="0"/>
        <w:spacing w:line="360" w:lineRule="auto"/>
        <w:ind w:firstLine="422" w:firstLineChars="200"/>
        <w:textAlignment w:val="baseline"/>
        <w:rPr>
          <w:rFonts w:hint="eastAsia" w:ascii="仿宋_GB2312" w:hAnsi="仿宋_GB2312" w:eastAsia="仿宋_GB2312" w:cs="仿宋_GB2312"/>
          <w:color w:val="auto"/>
          <w:szCs w:val="21"/>
          <w:highlight w:val="none"/>
          <w:u w:val="single"/>
        </w:rPr>
      </w:pPr>
      <w:r>
        <w:rPr>
          <w:rFonts w:hint="eastAsia" w:ascii="仿宋_GB2312" w:hAnsi="仿宋_GB2312" w:eastAsia="仿宋_GB2312" w:cs="仿宋_GB2312"/>
          <w:b/>
          <w:bCs/>
          <w:color w:val="auto"/>
          <w:szCs w:val="21"/>
          <w:highlight w:val="none"/>
        </w:rPr>
        <w:t>甲方：</w:t>
      </w:r>
      <w:r>
        <w:rPr>
          <w:rFonts w:hint="eastAsia" w:ascii="仿宋_GB2312" w:hAnsi="仿宋_GB2312" w:eastAsia="仿宋_GB2312" w:cs="仿宋_GB2312"/>
          <w:b/>
          <w:bCs/>
          <w:color w:val="auto"/>
          <w:szCs w:val="21"/>
          <w:highlight w:val="none"/>
          <w:u w:val="single"/>
          <w:lang w:val="en-US" w:eastAsia="zh-CN"/>
        </w:rPr>
        <w:t xml:space="preserve">                       </w:t>
      </w:r>
      <w:r>
        <w:rPr>
          <w:rFonts w:hint="eastAsia" w:ascii="仿宋_GB2312" w:hAnsi="仿宋_GB2312" w:eastAsia="仿宋_GB2312" w:cs="仿宋_GB2312"/>
          <w:color w:val="auto"/>
          <w:szCs w:val="21"/>
          <w:highlight w:val="none"/>
        </w:rPr>
        <w:t xml:space="preserve"> </w:t>
      </w:r>
    </w:p>
    <w:p w14:paraId="62A61F43">
      <w:pPr>
        <w:widowControl/>
        <w:adjustRightInd w:val="0"/>
        <w:snapToGrid w:val="0"/>
        <w:spacing w:line="360" w:lineRule="auto"/>
        <w:ind w:firstLine="422" w:firstLineChars="200"/>
        <w:textAlignment w:val="baseline"/>
        <w:rPr>
          <w:rFonts w:hint="eastAsia" w:ascii="仿宋_GB2312" w:hAnsi="仿宋_GB2312" w:eastAsia="仿宋_GB2312" w:cs="仿宋_GB2312"/>
          <w:color w:val="auto"/>
          <w:szCs w:val="21"/>
          <w:highlight w:val="none"/>
          <w:u w:val="single"/>
        </w:rPr>
      </w:pPr>
      <w:r>
        <w:rPr>
          <w:rFonts w:hint="eastAsia" w:ascii="仿宋_GB2312" w:hAnsi="仿宋_GB2312" w:eastAsia="仿宋_GB2312" w:cs="仿宋_GB2312"/>
          <w:b/>
          <w:bCs/>
          <w:color w:val="auto"/>
          <w:szCs w:val="21"/>
          <w:highlight w:val="none"/>
        </w:rPr>
        <w:t>乙方：</w:t>
      </w:r>
      <w:r>
        <w:rPr>
          <w:rFonts w:hint="eastAsia" w:ascii="仿宋_GB2312" w:hAnsi="仿宋_GB2312" w:eastAsia="仿宋_GB2312" w:cs="仿宋_GB2312"/>
          <w:color w:val="auto"/>
          <w:szCs w:val="21"/>
          <w:highlight w:val="none"/>
          <w:u w:val="single"/>
        </w:rPr>
        <w:t xml:space="preserve">                       </w:t>
      </w:r>
    </w:p>
    <w:p w14:paraId="43D6D492">
      <w:pPr>
        <w:widowControl/>
        <w:adjustRightInd w:val="0"/>
        <w:snapToGrid w:val="0"/>
        <w:spacing w:line="360" w:lineRule="auto"/>
        <w:ind w:firstLine="420" w:firstLineChars="200"/>
        <w:textAlignment w:val="baseline"/>
        <w:rPr>
          <w:rFonts w:hint="eastAsia" w:ascii="仿宋_GB2312" w:hAnsi="仿宋_GB2312" w:eastAsia="仿宋_GB2312" w:cs="仿宋_GB2312"/>
          <w:color w:val="auto"/>
          <w:szCs w:val="21"/>
          <w:highlight w:val="none"/>
        </w:rPr>
      </w:pPr>
    </w:p>
    <w:p w14:paraId="4991CFA4">
      <w:pPr>
        <w:widowControl/>
        <w:adjustRightInd w:val="0"/>
        <w:snapToGrid w:val="0"/>
        <w:spacing w:line="360" w:lineRule="auto"/>
        <w:ind w:firstLine="420" w:firstLineChars="200"/>
        <w:textAlignment w:val="baseline"/>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就甲方所需服务，在西安市财政局政府采购管理处的监督管理下，按照政府采购程序组织</w:t>
      </w:r>
      <w:r>
        <w:rPr>
          <w:rFonts w:hint="eastAsia" w:ascii="仿宋_GB2312" w:hAnsi="仿宋_GB2312" w:eastAsia="仿宋_GB2312" w:cs="仿宋_GB2312"/>
          <w:color w:val="auto"/>
          <w:szCs w:val="21"/>
          <w:highlight w:val="none"/>
          <w:u w:val="single"/>
        </w:rPr>
        <w:t xml:space="preserve"> 竞争性磋商采购</w:t>
      </w:r>
      <w:r>
        <w:rPr>
          <w:rFonts w:hint="eastAsia" w:ascii="仿宋_GB2312" w:hAnsi="仿宋_GB2312" w:eastAsia="仿宋_GB2312" w:cs="仿宋_GB2312"/>
          <w:color w:val="auto"/>
          <w:szCs w:val="21"/>
          <w:highlight w:val="none"/>
        </w:rPr>
        <w:t>，确定乙方为</w:t>
      </w:r>
      <w:r>
        <w:rPr>
          <w:rFonts w:hint="eastAsia" w:ascii="仿宋_GB2312" w:hAnsi="仿宋_GB2312" w:eastAsia="仿宋_GB2312" w:cs="仿宋_GB2312"/>
          <w:color w:val="auto"/>
          <w:szCs w:val="21"/>
          <w:highlight w:val="none"/>
          <w:u w:val="single"/>
        </w:rPr>
        <w:t xml:space="preserve">（项目名称） </w:t>
      </w:r>
      <w:r>
        <w:rPr>
          <w:rFonts w:hint="eastAsia" w:ascii="仿宋_GB2312" w:hAnsi="仿宋_GB2312" w:eastAsia="仿宋_GB2312" w:cs="仿宋_GB2312"/>
          <w:color w:val="auto"/>
          <w:szCs w:val="21"/>
          <w:highlight w:val="none"/>
          <w:u w:val="single"/>
          <w:lang w:eastAsia="zh-CN"/>
        </w:rPr>
        <w:t>（</w:t>
      </w:r>
      <w:r>
        <w:rPr>
          <w:rFonts w:hint="eastAsia" w:ascii="仿宋_GB2312" w:hAnsi="仿宋_GB2312" w:eastAsia="仿宋_GB2312" w:cs="仿宋_GB2312"/>
          <w:color w:val="auto"/>
          <w:szCs w:val="21"/>
          <w:highlight w:val="none"/>
          <w:u w:val="single"/>
          <w:lang w:val="zh-CN"/>
        </w:rPr>
        <w:t>项目</w:t>
      </w:r>
      <w:r>
        <w:rPr>
          <w:rFonts w:hint="eastAsia" w:ascii="仿宋_GB2312" w:hAnsi="仿宋_GB2312" w:eastAsia="仿宋_GB2312" w:cs="仿宋_GB2312"/>
          <w:color w:val="auto"/>
          <w:szCs w:val="21"/>
          <w:highlight w:val="none"/>
          <w:u w:val="single"/>
        </w:rPr>
        <w:t xml:space="preserve">编号：  </w:t>
      </w:r>
      <w:r>
        <w:rPr>
          <w:rFonts w:hint="eastAsia" w:ascii="仿宋_GB2312" w:hAnsi="仿宋_GB2312" w:eastAsia="仿宋_GB2312" w:cs="仿宋_GB2312"/>
          <w:color w:val="auto"/>
          <w:szCs w:val="21"/>
          <w:highlight w:val="none"/>
          <w:u w:val="single"/>
          <w:lang w:eastAsia="zh-CN"/>
        </w:rPr>
        <w:t>）</w:t>
      </w:r>
      <w:r>
        <w:rPr>
          <w:rFonts w:hint="eastAsia" w:ascii="仿宋_GB2312" w:hAnsi="仿宋_GB2312" w:eastAsia="仿宋_GB2312" w:cs="仿宋_GB2312"/>
          <w:color w:val="auto"/>
          <w:szCs w:val="21"/>
          <w:highlight w:val="none"/>
        </w:rPr>
        <w:t>成交供应商。依据《中华人民共和国民法典》和《中华人民共和国政府采购法》，以及采购文件、成交通知书，经甲、乙双方协商，达成如下合同条款。</w:t>
      </w:r>
    </w:p>
    <w:p w14:paraId="2AEAB881">
      <w:pPr>
        <w:widowControl/>
        <w:adjustRightInd w:val="0"/>
        <w:snapToGrid w:val="0"/>
        <w:spacing w:line="360" w:lineRule="auto"/>
        <w:ind w:firstLine="422" w:firstLineChars="200"/>
        <w:textAlignment w:val="baseline"/>
        <w:outlineLvl w:val="0"/>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rPr>
        <w:t>一、项目名称、标的内容、范围和要求</w:t>
      </w:r>
    </w:p>
    <w:p w14:paraId="1B560015">
      <w:pPr>
        <w:widowControl/>
        <w:autoSpaceDE w:val="0"/>
        <w:autoSpaceDN w:val="0"/>
        <w:adjustRightInd w:val="0"/>
        <w:snapToGrid w:val="0"/>
        <w:spacing w:line="360" w:lineRule="auto"/>
        <w:ind w:firstLine="422" w:firstLineChars="200"/>
        <w:textAlignment w:val="baseline"/>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bCs/>
          <w:color w:val="auto"/>
          <w:szCs w:val="21"/>
          <w:highlight w:val="none"/>
        </w:rPr>
        <w:t>（一）</w:t>
      </w:r>
      <w:r>
        <w:rPr>
          <w:rFonts w:hint="eastAsia" w:ascii="仿宋_GB2312" w:hAnsi="仿宋_GB2312" w:eastAsia="仿宋_GB2312" w:cs="仿宋_GB2312"/>
          <w:b/>
          <w:color w:val="auto"/>
          <w:szCs w:val="21"/>
          <w:highlight w:val="none"/>
        </w:rPr>
        <w:t>项目名称</w:t>
      </w:r>
    </w:p>
    <w:p w14:paraId="6F616B9E">
      <w:pPr>
        <w:widowControl/>
        <w:autoSpaceDE w:val="0"/>
        <w:autoSpaceDN w:val="0"/>
        <w:adjustRightInd w:val="0"/>
        <w:snapToGrid w:val="0"/>
        <w:spacing w:line="360" w:lineRule="auto"/>
        <w:ind w:firstLine="420" w:firstLineChars="200"/>
        <w:textAlignment w:val="baseline"/>
        <w:rPr>
          <w:rFonts w:hint="eastAsia" w:ascii="仿宋_GB2312" w:hAnsi="仿宋_GB2312" w:eastAsia="仿宋_GB2312" w:cs="仿宋_GB2312"/>
          <w:color w:val="auto"/>
          <w:szCs w:val="21"/>
          <w:highlight w:val="none"/>
          <w:u w:val="single"/>
        </w:rPr>
      </w:pPr>
      <w:r>
        <w:rPr>
          <w:rFonts w:hint="eastAsia" w:ascii="仿宋_GB2312" w:hAnsi="仿宋_GB2312" w:eastAsia="仿宋_GB2312" w:cs="仿宋_GB2312"/>
          <w:color w:val="auto"/>
          <w:szCs w:val="21"/>
          <w:highlight w:val="none"/>
          <w:u w:val="single"/>
          <w:lang w:bidi="ar"/>
        </w:rPr>
        <w:t>西安市中心医院集成平台维保项目</w:t>
      </w:r>
    </w:p>
    <w:p w14:paraId="45FAE72C">
      <w:pPr>
        <w:widowControl/>
        <w:autoSpaceDE w:val="0"/>
        <w:autoSpaceDN w:val="0"/>
        <w:adjustRightInd w:val="0"/>
        <w:snapToGrid w:val="0"/>
        <w:spacing w:line="360" w:lineRule="auto"/>
        <w:ind w:firstLine="422" w:firstLineChars="200"/>
        <w:textAlignment w:val="baseline"/>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rPr>
        <w:t>（二）标的内容、范围</w:t>
      </w:r>
    </w:p>
    <w:p w14:paraId="6DA57DB3">
      <w:pPr>
        <w:widowControl/>
        <w:autoSpaceDE w:val="0"/>
        <w:autoSpaceDN w:val="0"/>
        <w:adjustRightInd w:val="0"/>
        <w:snapToGrid w:val="0"/>
        <w:spacing w:line="360" w:lineRule="auto"/>
        <w:ind w:firstLine="420" w:firstLineChars="200"/>
        <w:textAlignment w:val="baseline"/>
        <w:rPr>
          <w:rFonts w:hint="eastAsia" w:ascii="仿宋_GB2312" w:hAnsi="仿宋_GB2312" w:eastAsia="仿宋_GB2312" w:cs="仿宋_GB2312"/>
          <w:color w:val="auto"/>
          <w:szCs w:val="21"/>
          <w:highlight w:val="none"/>
          <w:u w:val="single"/>
        </w:rPr>
      </w:pPr>
      <w:r>
        <w:rPr>
          <w:rFonts w:hint="eastAsia" w:ascii="仿宋_GB2312" w:hAnsi="仿宋_GB2312" w:eastAsia="仿宋_GB2312" w:cs="仿宋_GB2312"/>
          <w:color w:val="auto"/>
          <w:szCs w:val="21"/>
          <w:highlight w:val="none"/>
          <w:u w:val="single"/>
          <w:lang w:bidi="ar"/>
        </w:rPr>
        <w:t>集成平台年度维保(内容包含：集成平台系统，包括数据中心、基础服务、业务总线、应用服务、基础管理等)</w:t>
      </w:r>
    </w:p>
    <w:p w14:paraId="7BA6EDC9">
      <w:pPr>
        <w:widowControl/>
        <w:numPr>
          <w:ilvl w:val="0"/>
          <w:numId w:val="1"/>
        </w:numPr>
        <w:adjustRightInd w:val="0"/>
        <w:snapToGrid w:val="0"/>
        <w:spacing w:line="360" w:lineRule="auto"/>
        <w:ind w:firstLine="422" w:firstLineChars="200"/>
        <w:textAlignment w:val="baseline"/>
        <w:outlineLvl w:val="0"/>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rPr>
        <w:t>服务期限</w:t>
      </w:r>
    </w:p>
    <w:p w14:paraId="605571C1">
      <w:pPr>
        <w:widowControl/>
        <w:autoSpaceDE w:val="0"/>
        <w:autoSpaceDN w:val="0"/>
        <w:adjustRightInd w:val="0"/>
        <w:snapToGrid w:val="0"/>
        <w:spacing w:line="360" w:lineRule="auto"/>
        <w:ind w:firstLine="420" w:firstLineChars="200"/>
        <w:textAlignment w:val="baseline"/>
        <w:rPr>
          <w:rFonts w:hint="eastAsia" w:ascii="仿宋_GB2312" w:hAnsi="仿宋_GB2312" w:eastAsia="仿宋_GB2312" w:cs="仿宋_GB2312"/>
          <w:color w:val="auto"/>
          <w:szCs w:val="21"/>
          <w:highlight w:val="none"/>
          <w:u w:val="single"/>
        </w:rPr>
      </w:pPr>
      <w:r>
        <w:rPr>
          <w:rFonts w:hint="eastAsia" w:ascii="仿宋_GB2312" w:hAnsi="仿宋_GB2312" w:eastAsia="仿宋_GB2312" w:cs="仿宋_GB2312"/>
          <w:bCs/>
          <w:color w:val="auto"/>
          <w:szCs w:val="21"/>
          <w:highlight w:val="none"/>
          <w:lang w:val="en-US" w:eastAsia="zh-CN"/>
        </w:rPr>
        <w:t>1年（自合同签订之日起至服务期结束时止）</w:t>
      </w:r>
    </w:p>
    <w:p w14:paraId="5B2BD630">
      <w:pPr>
        <w:widowControl/>
        <w:adjustRightInd w:val="0"/>
        <w:snapToGrid w:val="0"/>
        <w:spacing w:line="360" w:lineRule="auto"/>
        <w:ind w:firstLine="422" w:firstLineChars="200"/>
        <w:textAlignment w:val="baseline"/>
        <w:outlineLvl w:val="0"/>
        <w:rPr>
          <w:rFonts w:hint="eastAsia" w:ascii="仿宋_GB2312" w:hAnsi="仿宋_GB2312" w:eastAsia="仿宋_GB2312" w:cs="仿宋_GB2312"/>
          <w:b/>
          <w:color w:val="auto"/>
          <w:szCs w:val="21"/>
          <w:highlight w:val="none"/>
          <w:lang w:val="en-US" w:eastAsia="zh-CN"/>
        </w:rPr>
      </w:pPr>
      <w:r>
        <w:rPr>
          <w:rFonts w:hint="eastAsia" w:ascii="仿宋_GB2312" w:hAnsi="仿宋_GB2312" w:eastAsia="仿宋_GB2312" w:cs="仿宋_GB2312"/>
          <w:b/>
          <w:color w:val="auto"/>
          <w:szCs w:val="21"/>
          <w:highlight w:val="none"/>
        </w:rPr>
        <w:t>三、服务</w:t>
      </w:r>
      <w:r>
        <w:rPr>
          <w:rFonts w:hint="eastAsia" w:ascii="仿宋_GB2312" w:hAnsi="仿宋_GB2312" w:eastAsia="仿宋_GB2312" w:cs="仿宋_GB2312"/>
          <w:b/>
          <w:color w:val="auto"/>
          <w:szCs w:val="21"/>
          <w:highlight w:val="none"/>
          <w:lang w:val="en-US" w:eastAsia="zh-CN"/>
        </w:rPr>
        <w:t>内容</w:t>
      </w:r>
    </w:p>
    <w:p w14:paraId="2087779E">
      <w:pPr>
        <w:widowControl/>
        <w:adjustRightInd w:val="0"/>
        <w:snapToGrid w:val="0"/>
        <w:spacing w:line="360" w:lineRule="auto"/>
        <w:ind w:firstLine="420" w:firstLineChars="200"/>
        <w:textAlignment w:val="baseline"/>
        <w:outlineLvl w:val="0"/>
        <w:rPr>
          <w:rFonts w:hint="eastAsia" w:ascii="仿宋_GB2312" w:hAnsi="仿宋_GB2312" w:eastAsia="仿宋_GB2312" w:cs="仿宋_GB2312"/>
          <w:b w:val="0"/>
          <w:bCs/>
          <w:color w:val="auto"/>
          <w:szCs w:val="21"/>
          <w:highlight w:val="none"/>
          <w:lang w:val="en-US" w:eastAsia="zh-CN"/>
        </w:rPr>
      </w:pPr>
      <w:r>
        <w:rPr>
          <w:rFonts w:hint="eastAsia" w:ascii="仿宋_GB2312" w:hAnsi="仿宋_GB2312" w:eastAsia="仿宋_GB2312" w:cs="仿宋_GB2312"/>
          <w:b w:val="0"/>
          <w:bCs/>
          <w:color w:val="auto"/>
          <w:szCs w:val="21"/>
          <w:highlight w:val="none"/>
          <w:lang w:val="en-US" w:eastAsia="zh-CN"/>
        </w:rPr>
        <w:t>具体详见竞争性磋商文件。</w:t>
      </w:r>
    </w:p>
    <w:p w14:paraId="6D49EC3C">
      <w:pPr>
        <w:widowControl/>
        <w:adjustRightInd w:val="0"/>
        <w:snapToGrid w:val="0"/>
        <w:spacing w:line="360" w:lineRule="auto"/>
        <w:ind w:firstLine="422" w:firstLineChars="200"/>
        <w:textAlignment w:val="baseline"/>
        <w:outlineLvl w:val="0"/>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rPr>
        <w:t>四、合同价款</w:t>
      </w:r>
    </w:p>
    <w:p w14:paraId="50F3EBD3">
      <w:pPr>
        <w:widowControl/>
        <w:autoSpaceDE w:val="0"/>
        <w:autoSpaceDN w:val="0"/>
        <w:adjustRightInd w:val="0"/>
        <w:snapToGrid w:val="0"/>
        <w:spacing w:line="360" w:lineRule="auto"/>
        <w:ind w:firstLine="420" w:firstLineChars="200"/>
        <w:textAlignment w:val="baseline"/>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1.合同金额（大写）：</w:t>
      </w:r>
      <w:r>
        <w:rPr>
          <w:rFonts w:hint="eastAsia" w:ascii="仿宋_GB2312" w:hAnsi="仿宋_GB2312" w:eastAsia="仿宋_GB2312" w:cs="仿宋_GB2312"/>
          <w:color w:val="auto"/>
          <w:szCs w:val="21"/>
          <w:highlight w:val="none"/>
          <w:u w:val="single"/>
        </w:rPr>
        <w:t xml:space="preserve">                   </w:t>
      </w:r>
      <w:r>
        <w:rPr>
          <w:rFonts w:hint="eastAsia" w:ascii="仿宋_GB2312" w:hAnsi="仿宋_GB2312" w:eastAsia="仿宋_GB2312" w:cs="仿宋_GB2312"/>
          <w:color w:val="auto"/>
          <w:szCs w:val="21"/>
          <w:highlight w:val="none"/>
        </w:rPr>
        <w:t>（¥：</w:t>
      </w:r>
      <w:r>
        <w:rPr>
          <w:rFonts w:hint="eastAsia" w:ascii="仿宋_GB2312" w:hAnsi="仿宋_GB2312" w:eastAsia="仿宋_GB2312" w:cs="仿宋_GB2312"/>
          <w:color w:val="auto"/>
          <w:szCs w:val="21"/>
          <w:highlight w:val="none"/>
          <w:u w:val="single"/>
        </w:rPr>
        <w:t xml:space="preserve">      </w:t>
      </w:r>
      <w:r>
        <w:rPr>
          <w:rFonts w:hint="eastAsia" w:ascii="仿宋_GB2312" w:hAnsi="仿宋_GB2312" w:eastAsia="仿宋_GB2312" w:cs="仿宋_GB2312"/>
          <w:color w:val="auto"/>
          <w:szCs w:val="21"/>
          <w:highlight w:val="none"/>
        </w:rPr>
        <w:t>）。</w:t>
      </w:r>
    </w:p>
    <w:p w14:paraId="59CAD7B0">
      <w:pPr>
        <w:widowControl/>
        <w:autoSpaceDE w:val="0"/>
        <w:autoSpaceDN w:val="0"/>
        <w:adjustRightInd w:val="0"/>
        <w:snapToGrid w:val="0"/>
        <w:spacing w:line="360" w:lineRule="auto"/>
        <w:ind w:firstLine="420" w:firstLineChars="200"/>
        <w:textAlignment w:val="baseline"/>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2.合同总价即中标价，为一次性报价，不受市场</w:t>
      </w:r>
      <w:r>
        <w:rPr>
          <w:rFonts w:hint="eastAsia" w:ascii="仿宋_GB2312" w:hAnsi="仿宋_GB2312" w:eastAsia="仿宋_GB2312" w:cs="仿宋_GB2312"/>
          <w:color w:val="auto"/>
          <w:szCs w:val="21"/>
          <w:highlight w:val="none"/>
          <w:lang w:eastAsia="zh-CN"/>
        </w:rPr>
        <w:t>价格</w:t>
      </w:r>
      <w:r>
        <w:rPr>
          <w:rFonts w:hint="eastAsia" w:ascii="仿宋_GB2312" w:hAnsi="仿宋_GB2312" w:eastAsia="仿宋_GB2312" w:cs="仿宋_GB2312"/>
          <w:color w:val="auto"/>
          <w:szCs w:val="21"/>
          <w:highlight w:val="none"/>
        </w:rPr>
        <w:t>变化或实际工作量变化的影响。</w:t>
      </w:r>
    </w:p>
    <w:p w14:paraId="0210647E">
      <w:pPr>
        <w:widowControl/>
        <w:autoSpaceDE w:val="0"/>
        <w:autoSpaceDN w:val="0"/>
        <w:adjustRightInd w:val="0"/>
        <w:snapToGrid w:val="0"/>
        <w:spacing w:line="360" w:lineRule="auto"/>
        <w:ind w:firstLine="420" w:firstLineChars="200"/>
        <w:textAlignment w:val="baseline"/>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3.合同总价一次性包死，不受市场价格变化因素的影响。</w:t>
      </w:r>
    </w:p>
    <w:p w14:paraId="1A676D73">
      <w:pPr>
        <w:widowControl/>
        <w:autoSpaceDE w:val="0"/>
        <w:autoSpaceDN w:val="0"/>
        <w:adjustRightInd w:val="0"/>
        <w:snapToGrid w:val="0"/>
        <w:spacing w:line="360" w:lineRule="auto"/>
        <w:ind w:firstLine="422" w:firstLineChars="200"/>
        <w:textAlignment w:val="baseline"/>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rPr>
        <w:t>五、付款方式</w:t>
      </w:r>
    </w:p>
    <w:p w14:paraId="7D8EDB75">
      <w:pPr>
        <w:widowControl/>
        <w:autoSpaceDE w:val="0"/>
        <w:autoSpaceDN w:val="0"/>
        <w:adjustRightInd w:val="0"/>
        <w:snapToGrid w:val="0"/>
        <w:spacing w:line="360" w:lineRule="auto"/>
        <w:ind w:firstLine="422" w:firstLineChars="200"/>
        <w:textAlignment w:val="baseline"/>
        <w:rPr>
          <w:rFonts w:hint="eastAsia" w:ascii="仿宋_GB2312" w:hAnsi="仿宋_GB2312" w:eastAsia="仿宋_GB2312" w:cs="仿宋_GB2312"/>
          <w:b/>
          <w:bCs/>
          <w:color w:val="auto"/>
          <w:szCs w:val="21"/>
          <w:highlight w:val="none"/>
        </w:rPr>
      </w:pPr>
      <w:r>
        <w:rPr>
          <w:rFonts w:hint="eastAsia" w:ascii="仿宋_GB2312" w:hAnsi="仿宋_GB2312" w:eastAsia="仿宋_GB2312" w:cs="仿宋_GB2312"/>
          <w:b/>
          <w:bCs/>
          <w:color w:val="auto"/>
          <w:szCs w:val="21"/>
          <w:highlight w:val="none"/>
        </w:rPr>
        <w:t>（一）分期付款</w:t>
      </w:r>
    </w:p>
    <w:p w14:paraId="1E6ED864">
      <w:pPr>
        <w:widowControl/>
        <w:autoSpaceDE w:val="0"/>
        <w:autoSpaceDN w:val="0"/>
        <w:adjustRightInd w:val="0"/>
        <w:snapToGrid w:val="0"/>
        <w:spacing w:line="360" w:lineRule="auto"/>
        <w:ind w:firstLine="420" w:firstLineChars="200"/>
        <w:textAlignment w:val="baseline"/>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第一期付款：合同签订后</w:t>
      </w:r>
      <w:r>
        <w:rPr>
          <w:rFonts w:hint="eastAsia" w:ascii="仿宋_GB2312" w:hAnsi="仿宋_GB2312" w:eastAsia="仿宋_GB2312" w:cs="仿宋_GB2312"/>
          <w:color w:val="auto"/>
          <w:szCs w:val="21"/>
          <w:highlight w:val="none"/>
          <w:lang w:val="en-US" w:eastAsia="zh-CN"/>
        </w:rPr>
        <w:t>6个月</w:t>
      </w:r>
      <w:r>
        <w:rPr>
          <w:rFonts w:hint="eastAsia" w:ascii="仿宋_GB2312" w:hAnsi="仿宋_GB2312" w:eastAsia="仿宋_GB2312" w:cs="仿宋_GB2312"/>
          <w:color w:val="auto"/>
          <w:szCs w:val="21"/>
          <w:highlight w:val="none"/>
        </w:rPr>
        <w:t>支付合同总价款的50%。</w:t>
      </w:r>
    </w:p>
    <w:p w14:paraId="27747E26">
      <w:pPr>
        <w:widowControl/>
        <w:autoSpaceDE w:val="0"/>
        <w:autoSpaceDN w:val="0"/>
        <w:adjustRightInd w:val="0"/>
        <w:snapToGrid w:val="0"/>
        <w:spacing w:line="360" w:lineRule="auto"/>
        <w:ind w:firstLine="420" w:firstLineChars="200"/>
        <w:textAlignment w:val="baseline"/>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第二期付款：服务期满后，验收合格并出具《验收单》，支付合同总价款的50%。</w:t>
      </w:r>
    </w:p>
    <w:p w14:paraId="019903A8">
      <w:pPr>
        <w:widowControl/>
        <w:autoSpaceDE w:val="0"/>
        <w:autoSpaceDN w:val="0"/>
        <w:adjustRightInd w:val="0"/>
        <w:snapToGrid w:val="0"/>
        <w:spacing w:line="360" w:lineRule="auto"/>
        <w:ind w:firstLine="422" w:firstLineChars="200"/>
        <w:textAlignment w:val="baseline"/>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bCs/>
          <w:color w:val="auto"/>
          <w:szCs w:val="21"/>
          <w:highlight w:val="none"/>
        </w:rPr>
        <w:t>（二）支付方式：</w:t>
      </w:r>
      <w:r>
        <w:rPr>
          <w:rFonts w:hint="eastAsia" w:ascii="仿宋_GB2312" w:hAnsi="仿宋_GB2312" w:eastAsia="仿宋_GB2312" w:cs="仿宋_GB2312"/>
          <w:color w:val="auto"/>
          <w:szCs w:val="21"/>
          <w:highlight w:val="none"/>
        </w:rPr>
        <w:t>银行转账。乙方指定收款银行账户如下：</w:t>
      </w:r>
    </w:p>
    <w:p w14:paraId="1CD47BCA">
      <w:pPr>
        <w:widowControl/>
        <w:autoSpaceDE w:val="0"/>
        <w:autoSpaceDN w:val="0"/>
        <w:adjustRightInd w:val="0"/>
        <w:snapToGrid w:val="0"/>
        <w:spacing w:line="360" w:lineRule="auto"/>
        <w:ind w:firstLine="420" w:firstLineChars="200"/>
        <w:textAlignment w:val="baseline"/>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开户银行：</w:t>
      </w:r>
    </w:p>
    <w:p w14:paraId="5F088875">
      <w:pPr>
        <w:widowControl/>
        <w:autoSpaceDE w:val="0"/>
        <w:autoSpaceDN w:val="0"/>
        <w:adjustRightInd w:val="0"/>
        <w:snapToGrid w:val="0"/>
        <w:spacing w:line="360" w:lineRule="auto"/>
        <w:ind w:firstLine="420" w:firstLineChars="200"/>
        <w:textAlignment w:val="baseline"/>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开户账号：</w:t>
      </w:r>
    </w:p>
    <w:p w14:paraId="231A6F97">
      <w:pPr>
        <w:widowControl/>
        <w:autoSpaceDE w:val="0"/>
        <w:autoSpaceDN w:val="0"/>
        <w:adjustRightInd w:val="0"/>
        <w:snapToGrid w:val="0"/>
        <w:spacing w:line="360" w:lineRule="auto"/>
        <w:ind w:firstLine="420" w:firstLineChars="200"/>
        <w:textAlignment w:val="baseline"/>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开户人：</w:t>
      </w:r>
    </w:p>
    <w:p w14:paraId="16939C88">
      <w:pPr>
        <w:widowControl/>
        <w:autoSpaceDE w:val="0"/>
        <w:autoSpaceDN w:val="0"/>
        <w:adjustRightInd w:val="0"/>
        <w:snapToGrid w:val="0"/>
        <w:spacing w:line="360" w:lineRule="auto"/>
        <w:ind w:firstLine="422" w:firstLineChars="200"/>
        <w:textAlignment w:val="baseline"/>
        <w:rPr>
          <w:rFonts w:hint="eastAsia" w:ascii="仿宋_GB2312" w:hAnsi="仿宋_GB2312" w:eastAsia="仿宋_GB2312" w:cs="仿宋_GB2312"/>
          <w:color w:val="auto"/>
          <w:szCs w:val="21"/>
          <w:highlight w:val="none"/>
          <w:lang w:val="en-US" w:eastAsia="zh-CN"/>
        </w:rPr>
      </w:pPr>
      <w:r>
        <w:rPr>
          <w:rFonts w:hint="eastAsia" w:ascii="仿宋_GB2312" w:hAnsi="仿宋_GB2312" w:eastAsia="仿宋_GB2312" w:cs="仿宋_GB2312"/>
          <w:b/>
          <w:bCs/>
          <w:color w:val="auto"/>
          <w:szCs w:val="21"/>
          <w:highlight w:val="none"/>
        </w:rPr>
        <w:t>（三）结算方式：</w:t>
      </w:r>
      <w:r>
        <w:rPr>
          <w:rFonts w:hint="eastAsia" w:ascii="仿宋_GB2312" w:hAnsi="仿宋_GB2312" w:eastAsia="仿宋_GB2312" w:cs="仿宋_GB2312"/>
          <w:color w:val="auto"/>
          <w:szCs w:val="21"/>
          <w:highlight w:val="none"/>
        </w:rPr>
        <w:t>验收合格后填写政府采购项目验收单（一式</w:t>
      </w:r>
      <w:r>
        <w:rPr>
          <w:rFonts w:hint="eastAsia" w:ascii="仿宋_GB2312" w:hAnsi="仿宋_GB2312" w:eastAsia="仿宋_GB2312" w:cs="仿宋_GB2312"/>
          <w:color w:val="auto"/>
          <w:szCs w:val="21"/>
          <w:highlight w:val="none"/>
          <w:u w:val="single"/>
        </w:rPr>
        <w:t xml:space="preserve">    </w:t>
      </w:r>
      <w:r>
        <w:rPr>
          <w:rFonts w:hint="eastAsia" w:ascii="仿宋_GB2312" w:hAnsi="仿宋_GB2312" w:eastAsia="仿宋_GB2312" w:cs="仿宋_GB2312"/>
          <w:color w:val="auto"/>
          <w:szCs w:val="21"/>
          <w:highlight w:val="none"/>
        </w:rPr>
        <w:t>份），发票（按合同总价值开采购人），</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持成交通知书、服务合同、正式发票、政府采购项目验收单，与采购人结算。若乙方未在甲方付款前提供全额合规发票的，甲方有权拒付合同款项，且不承担任何责任，乙方亦不得以此为由拒绝履行任意合同义务。</w:t>
      </w:r>
    </w:p>
    <w:p w14:paraId="2218B6AA">
      <w:pPr>
        <w:widowControl/>
        <w:autoSpaceDE w:val="0"/>
        <w:autoSpaceDN w:val="0"/>
        <w:adjustRightInd w:val="0"/>
        <w:snapToGrid w:val="0"/>
        <w:spacing w:line="360" w:lineRule="auto"/>
        <w:ind w:firstLine="422" w:firstLineChars="200"/>
        <w:textAlignment w:val="baseline"/>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lang w:val="en-US" w:eastAsia="zh-CN"/>
        </w:rPr>
        <w:t>六</w:t>
      </w:r>
      <w:r>
        <w:rPr>
          <w:rFonts w:hint="eastAsia" w:ascii="仿宋_GB2312" w:hAnsi="仿宋_GB2312" w:eastAsia="仿宋_GB2312" w:cs="仿宋_GB2312"/>
          <w:b/>
          <w:color w:val="auto"/>
          <w:szCs w:val="21"/>
          <w:highlight w:val="none"/>
        </w:rPr>
        <w:t>、</w:t>
      </w:r>
      <w:r>
        <w:rPr>
          <w:rFonts w:hint="eastAsia" w:ascii="仿宋_GB2312" w:hAnsi="仿宋_GB2312" w:eastAsia="仿宋_GB2312" w:cs="仿宋_GB2312"/>
          <w:b/>
          <w:color w:val="auto"/>
          <w:szCs w:val="21"/>
          <w:highlight w:val="none"/>
          <w:lang w:val="en-US" w:eastAsia="zh-CN"/>
        </w:rPr>
        <w:t>履约</w:t>
      </w:r>
      <w:r>
        <w:rPr>
          <w:rFonts w:hint="eastAsia" w:ascii="仿宋_GB2312" w:hAnsi="仿宋_GB2312" w:eastAsia="仿宋_GB2312" w:cs="仿宋_GB2312"/>
          <w:b/>
          <w:color w:val="auto"/>
          <w:szCs w:val="21"/>
          <w:highlight w:val="none"/>
        </w:rPr>
        <w:t>验收</w:t>
      </w:r>
    </w:p>
    <w:p w14:paraId="6F91A90A">
      <w:pPr>
        <w:widowControl/>
        <w:autoSpaceDE w:val="0"/>
        <w:autoSpaceDN w:val="0"/>
        <w:adjustRightInd w:val="0"/>
        <w:snapToGrid w:val="0"/>
        <w:spacing w:line="360" w:lineRule="auto"/>
        <w:ind w:firstLine="422" w:firstLineChars="200"/>
        <w:textAlignment w:val="baseline"/>
        <w:rPr>
          <w:rFonts w:hint="eastAsia" w:ascii="仿宋_GB2312" w:hAnsi="仿宋_GB2312" w:eastAsia="仿宋_GB2312" w:cs="仿宋_GB2312"/>
          <w:b/>
          <w:bCs/>
          <w:color w:val="auto"/>
          <w:szCs w:val="21"/>
          <w:highlight w:val="none"/>
          <w:lang w:val="en-US" w:eastAsia="zh-CN"/>
        </w:rPr>
      </w:pPr>
      <w:r>
        <w:rPr>
          <w:rFonts w:hint="eastAsia" w:ascii="仿宋_GB2312" w:hAnsi="仿宋_GB2312" w:eastAsia="仿宋_GB2312" w:cs="仿宋_GB2312"/>
          <w:b/>
          <w:bCs/>
          <w:color w:val="auto"/>
          <w:szCs w:val="21"/>
          <w:highlight w:val="none"/>
        </w:rPr>
        <w:t>（一）验收</w:t>
      </w:r>
      <w:r>
        <w:rPr>
          <w:rFonts w:hint="eastAsia" w:ascii="仿宋_GB2312" w:hAnsi="仿宋_GB2312" w:eastAsia="仿宋_GB2312" w:cs="仿宋_GB2312"/>
          <w:b/>
          <w:bCs/>
          <w:color w:val="auto"/>
          <w:szCs w:val="21"/>
          <w:highlight w:val="none"/>
          <w:lang w:val="en-US" w:eastAsia="zh-CN"/>
        </w:rPr>
        <w:t>时间及内容</w:t>
      </w:r>
    </w:p>
    <w:p w14:paraId="50457123">
      <w:pPr>
        <w:widowControl/>
        <w:autoSpaceDE w:val="0"/>
        <w:autoSpaceDN w:val="0"/>
        <w:adjustRightInd w:val="0"/>
        <w:snapToGrid w:val="0"/>
        <w:spacing w:line="360" w:lineRule="auto"/>
        <w:ind w:firstLine="420" w:firstLineChars="200"/>
        <w:textAlignment w:val="baseline"/>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乙方向甲方提交验收申请</w:t>
      </w:r>
      <w:r>
        <w:rPr>
          <w:rFonts w:hint="eastAsia" w:ascii="仿宋_GB2312" w:hAnsi="仿宋_GB2312" w:eastAsia="仿宋_GB2312" w:cs="仿宋_GB2312"/>
          <w:sz w:val="21"/>
          <w:szCs w:val="21"/>
          <w:lang w:val="en-US" w:eastAsia="zh-CN"/>
        </w:rPr>
        <w:t>后</w:t>
      </w:r>
      <w:r>
        <w:rPr>
          <w:rFonts w:hint="eastAsia" w:ascii="仿宋_GB2312" w:hAnsi="仿宋_GB2312" w:eastAsia="仿宋_GB2312" w:cs="仿宋_GB2312"/>
          <w:sz w:val="21"/>
          <w:szCs w:val="21"/>
        </w:rPr>
        <w:t>，甲方</w:t>
      </w:r>
      <w:r>
        <w:rPr>
          <w:rFonts w:hint="eastAsia" w:ascii="仿宋_GB2312" w:hAnsi="仿宋_GB2312" w:eastAsia="仿宋_GB2312" w:cs="仿宋_GB2312"/>
          <w:sz w:val="21"/>
          <w:szCs w:val="21"/>
          <w:lang w:val="en-US" w:eastAsia="zh-CN"/>
        </w:rPr>
        <w:t>在</w:t>
      </w:r>
      <w:r>
        <w:rPr>
          <w:rFonts w:hint="eastAsia" w:ascii="仿宋_GB2312" w:hAnsi="仿宋_GB2312" w:eastAsia="仿宋_GB2312" w:cs="仿宋_GB2312"/>
          <w:sz w:val="21"/>
          <w:szCs w:val="21"/>
        </w:rPr>
        <w:t>提出验收申请之日起</w:t>
      </w:r>
      <w:r>
        <w:rPr>
          <w:rFonts w:hint="eastAsia" w:ascii="仿宋_GB2312" w:hAnsi="仿宋_GB2312" w:eastAsia="仿宋_GB2312" w:cs="仿宋_GB2312"/>
          <w:sz w:val="21"/>
          <w:szCs w:val="21"/>
          <w:u w:val="single"/>
          <w:lang w:val="en-US" w:eastAsia="zh-CN"/>
        </w:rPr>
        <w:t xml:space="preserve">   </w:t>
      </w:r>
      <w:r>
        <w:rPr>
          <w:rFonts w:hint="eastAsia" w:ascii="仿宋_GB2312" w:hAnsi="仿宋_GB2312" w:eastAsia="仿宋_GB2312" w:cs="仿宋_GB2312"/>
          <w:sz w:val="21"/>
          <w:szCs w:val="21"/>
        </w:rPr>
        <w:t>日内对本项目服务质量整体验收，确认服务标准和服务方式是否达到采购要求（必要时甲方可委托技术专家对项目进行验收）。验收合格后，填写政府采购项目验收单（一式</w:t>
      </w:r>
      <w:r>
        <w:rPr>
          <w:rFonts w:hint="eastAsia" w:ascii="仿宋_GB2312" w:hAnsi="仿宋_GB2312" w:eastAsia="仿宋_GB2312" w:cs="仿宋_GB2312"/>
          <w:sz w:val="21"/>
          <w:szCs w:val="21"/>
          <w:u w:val="single"/>
          <w:lang w:val="en-US" w:eastAsia="zh-CN"/>
        </w:rPr>
        <w:t xml:space="preserve">   </w:t>
      </w:r>
      <w:r>
        <w:rPr>
          <w:rFonts w:hint="eastAsia" w:ascii="仿宋_GB2312" w:hAnsi="仿宋_GB2312" w:eastAsia="仿宋_GB2312" w:cs="仿宋_GB2312"/>
          <w:sz w:val="21"/>
          <w:szCs w:val="21"/>
        </w:rPr>
        <w:t>份）作为对服务的最终认可。</w:t>
      </w:r>
    </w:p>
    <w:p w14:paraId="7022679B">
      <w:pPr>
        <w:widowControl/>
        <w:autoSpaceDE w:val="0"/>
        <w:autoSpaceDN w:val="0"/>
        <w:adjustRightInd w:val="0"/>
        <w:snapToGrid w:val="0"/>
        <w:spacing w:line="360" w:lineRule="auto"/>
        <w:ind w:firstLine="422" w:firstLineChars="200"/>
        <w:textAlignment w:val="baseline"/>
        <w:rPr>
          <w:rFonts w:hint="eastAsia" w:ascii="仿宋_GB2312" w:hAnsi="仿宋_GB2312" w:eastAsia="仿宋_GB2312" w:cs="仿宋_GB2312"/>
          <w:b/>
          <w:bCs/>
          <w:color w:val="auto"/>
          <w:szCs w:val="21"/>
          <w:highlight w:val="none"/>
          <w:lang w:val="en-US" w:eastAsia="zh-CN"/>
        </w:rPr>
      </w:pPr>
      <w:r>
        <w:rPr>
          <w:rFonts w:hint="eastAsia" w:ascii="仿宋_GB2312" w:hAnsi="仿宋_GB2312" w:eastAsia="仿宋_GB2312" w:cs="仿宋_GB2312"/>
          <w:b/>
          <w:bCs/>
          <w:color w:val="auto"/>
          <w:szCs w:val="21"/>
          <w:highlight w:val="none"/>
        </w:rPr>
        <w:t>（二）验收依据</w:t>
      </w:r>
      <w:r>
        <w:rPr>
          <w:rFonts w:hint="eastAsia" w:ascii="仿宋_GB2312" w:hAnsi="仿宋_GB2312" w:eastAsia="仿宋_GB2312" w:cs="仿宋_GB2312"/>
          <w:b/>
          <w:bCs/>
          <w:color w:val="auto"/>
          <w:szCs w:val="21"/>
          <w:highlight w:val="none"/>
          <w:lang w:val="en-US" w:eastAsia="zh-CN"/>
        </w:rPr>
        <w:t>及标准</w:t>
      </w:r>
    </w:p>
    <w:p w14:paraId="79A6B331">
      <w:pPr>
        <w:widowControl/>
        <w:autoSpaceDE w:val="0"/>
        <w:autoSpaceDN w:val="0"/>
        <w:adjustRightInd w:val="0"/>
        <w:snapToGrid w:val="0"/>
        <w:spacing w:line="360" w:lineRule="auto"/>
        <w:ind w:firstLine="420" w:firstLineChars="200"/>
        <w:textAlignment w:val="baseline"/>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1.招投标文件、澄清表（函）；</w:t>
      </w:r>
    </w:p>
    <w:p w14:paraId="6D055226">
      <w:pPr>
        <w:widowControl/>
        <w:autoSpaceDE w:val="0"/>
        <w:autoSpaceDN w:val="0"/>
        <w:adjustRightInd w:val="0"/>
        <w:snapToGrid w:val="0"/>
        <w:spacing w:line="360" w:lineRule="auto"/>
        <w:ind w:firstLine="420" w:firstLineChars="200"/>
        <w:textAlignment w:val="baseline"/>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2.本合同及附件文本；</w:t>
      </w:r>
    </w:p>
    <w:p w14:paraId="437B3DB7">
      <w:pPr>
        <w:widowControl/>
        <w:autoSpaceDE w:val="0"/>
        <w:autoSpaceDN w:val="0"/>
        <w:adjustRightInd w:val="0"/>
        <w:snapToGrid w:val="0"/>
        <w:spacing w:line="360" w:lineRule="auto"/>
        <w:ind w:firstLine="420" w:firstLineChars="200"/>
        <w:textAlignment w:val="baseline"/>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3.合同签订时</w:t>
      </w:r>
      <w:r>
        <w:rPr>
          <w:rFonts w:hint="eastAsia" w:ascii="仿宋_GB2312" w:hAnsi="仿宋_GB2312" w:eastAsia="仿宋_GB2312" w:cs="仿宋_GB2312"/>
          <w:color w:val="auto"/>
          <w:szCs w:val="21"/>
          <w:highlight w:val="none"/>
          <w:lang w:val="en-US" w:eastAsia="zh-CN"/>
        </w:rPr>
        <w:t>符合</w:t>
      </w:r>
      <w:r>
        <w:rPr>
          <w:rFonts w:hint="eastAsia" w:ascii="仿宋_GB2312" w:hAnsi="仿宋_GB2312" w:eastAsia="仿宋_GB2312" w:cs="仿宋_GB2312"/>
          <w:color w:val="auto"/>
          <w:szCs w:val="21"/>
          <w:highlight w:val="none"/>
        </w:rPr>
        <w:t>国家及行业现行的标准和技术规范。</w:t>
      </w:r>
    </w:p>
    <w:p w14:paraId="14B0D04D">
      <w:pPr>
        <w:widowControl/>
        <w:autoSpaceDE w:val="0"/>
        <w:autoSpaceDN w:val="0"/>
        <w:adjustRightInd w:val="0"/>
        <w:snapToGrid w:val="0"/>
        <w:spacing w:line="360" w:lineRule="auto"/>
        <w:ind w:firstLine="422" w:firstLineChars="200"/>
        <w:textAlignment w:val="baseline"/>
        <w:rPr>
          <w:rFonts w:hint="eastAsia" w:ascii="仿宋_GB2312" w:hAnsi="仿宋_GB2312" w:eastAsia="仿宋_GB2312" w:cs="仿宋_GB2312"/>
          <w:b/>
          <w:bCs/>
          <w:color w:val="auto"/>
          <w:szCs w:val="21"/>
          <w:highlight w:val="none"/>
        </w:rPr>
      </w:pPr>
      <w:r>
        <w:rPr>
          <w:rFonts w:hint="eastAsia" w:ascii="仿宋_GB2312" w:hAnsi="仿宋_GB2312" w:eastAsia="仿宋_GB2312" w:cs="仿宋_GB2312"/>
          <w:b/>
          <w:bCs/>
          <w:color w:val="auto"/>
          <w:szCs w:val="21"/>
          <w:highlight w:val="none"/>
        </w:rPr>
        <w:t>（三）资料归档</w:t>
      </w:r>
    </w:p>
    <w:p w14:paraId="0A3686BF">
      <w:pPr>
        <w:widowControl/>
        <w:autoSpaceDE w:val="0"/>
        <w:autoSpaceDN w:val="0"/>
        <w:adjustRightInd w:val="0"/>
        <w:snapToGrid w:val="0"/>
        <w:spacing w:line="360" w:lineRule="auto"/>
        <w:ind w:firstLine="420" w:firstLineChars="200"/>
        <w:textAlignment w:val="baseline"/>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乙方应向甲方提交项目实施过程中的所有资料，以便采购人甲方日后管理和维护。</w:t>
      </w:r>
    </w:p>
    <w:p w14:paraId="24359287">
      <w:pPr>
        <w:widowControl/>
        <w:autoSpaceDE w:val="0"/>
        <w:autoSpaceDN w:val="0"/>
        <w:adjustRightInd w:val="0"/>
        <w:snapToGrid w:val="0"/>
        <w:spacing w:line="360" w:lineRule="auto"/>
        <w:ind w:firstLine="422" w:firstLineChars="200"/>
        <w:textAlignment w:val="baseline"/>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lang w:val="en-US" w:eastAsia="zh-CN"/>
        </w:rPr>
        <w:t>七</w:t>
      </w:r>
      <w:r>
        <w:rPr>
          <w:rFonts w:hint="eastAsia" w:ascii="仿宋_GB2312" w:hAnsi="仿宋_GB2312" w:eastAsia="仿宋_GB2312" w:cs="仿宋_GB2312"/>
          <w:b/>
          <w:color w:val="auto"/>
          <w:szCs w:val="21"/>
          <w:highlight w:val="none"/>
        </w:rPr>
        <w:t>、双方权利义务</w:t>
      </w:r>
    </w:p>
    <w:p w14:paraId="0F314229">
      <w:pPr>
        <w:widowControl/>
        <w:adjustRightInd w:val="0"/>
        <w:snapToGrid w:val="0"/>
        <w:spacing w:line="360" w:lineRule="auto"/>
        <w:ind w:firstLine="422" w:firstLineChars="200"/>
        <w:textAlignment w:val="baseline"/>
        <w:outlineLvl w:val="0"/>
        <w:rPr>
          <w:rFonts w:hint="eastAsia" w:ascii="仿宋_GB2312" w:hAnsi="仿宋_GB2312" w:eastAsia="仿宋_GB2312" w:cs="仿宋_GB2312"/>
          <w:b/>
          <w:bCs/>
          <w:color w:val="auto"/>
          <w:szCs w:val="21"/>
          <w:highlight w:val="none"/>
        </w:rPr>
      </w:pPr>
      <w:r>
        <w:rPr>
          <w:rFonts w:hint="eastAsia" w:ascii="仿宋_GB2312" w:hAnsi="仿宋_GB2312" w:eastAsia="仿宋_GB2312" w:cs="仿宋_GB2312"/>
          <w:b/>
          <w:bCs/>
          <w:color w:val="auto"/>
          <w:szCs w:val="21"/>
          <w:highlight w:val="none"/>
        </w:rPr>
        <w:t>（一）甲方的权利义务</w:t>
      </w:r>
    </w:p>
    <w:p w14:paraId="15A7FBEF">
      <w:pPr>
        <w:pStyle w:val="6"/>
        <w:ind w:firstLine="420" w:firstLineChars="200"/>
        <w:jc w:val="both"/>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val="en-US" w:eastAsia="zh-CN"/>
        </w:rPr>
        <w:t>1.</w:t>
      </w:r>
      <w:r>
        <w:rPr>
          <w:rFonts w:hint="eastAsia" w:ascii="仿宋_GB2312" w:hAnsi="仿宋_GB2312" w:eastAsia="仿宋_GB2312" w:cs="仿宋_GB2312"/>
          <w:sz w:val="21"/>
          <w:szCs w:val="21"/>
        </w:rPr>
        <w:t>甲方应明确乙方服务的工作任务和工作要求。</w:t>
      </w:r>
    </w:p>
    <w:p w14:paraId="3169A12A">
      <w:pPr>
        <w:pStyle w:val="6"/>
        <w:ind w:firstLine="420" w:firstLineChars="200"/>
        <w:jc w:val="both"/>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val="en-US" w:eastAsia="zh-CN"/>
        </w:rPr>
        <w:t>2.</w:t>
      </w:r>
      <w:r>
        <w:rPr>
          <w:rFonts w:hint="eastAsia" w:ascii="仿宋_GB2312" w:hAnsi="仿宋_GB2312" w:eastAsia="仿宋_GB2312" w:cs="仿宋_GB2312"/>
          <w:sz w:val="21"/>
          <w:szCs w:val="21"/>
        </w:rPr>
        <w:t>甲方有权监督、指导服务事项进展，督促乙方加强对工作人员日常管理。</w:t>
      </w:r>
    </w:p>
    <w:p w14:paraId="0FF7341C">
      <w:pPr>
        <w:pStyle w:val="6"/>
        <w:ind w:firstLine="420" w:firstLineChars="200"/>
        <w:jc w:val="both"/>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val="en-US" w:eastAsia="zh-CN"/>
        </w:rPr>
        <w:t>3.</w:t>
      </w:r>
      <w:r>
        <w:rPr>
          <w:rFonts w:hint="eastAsia" w:ascii="仿宋_GB2312" w:hAnsi="仿宋_GB2312" w:eastAsia="仿宋_GB2312" w:cs="仿宋_GB2312"/>
          <w:sz w:val="21"/>
          <w:szCs w:val="21"/>
        </w:rPr>
        <w:t>甲方有权对乙方服务事项开展情况进行监督，并提出整改建议。</w:t>
      </w:r>
    </w:p>
    <w:p w14:paraId="23E088D0">
      <w:pPr>
        <w:pStyle w:val="6"/>
        <w:ind w:firstLine="420" w:firstLineChars="200"/>
        <w:jc w:val="both"/>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val="en-US" w:eastAsia="zh-CN"/>
        </w:rPr>
        <w:t>4.</w:t>
      </w:r>
      <w:r>
        <w:rPr>
          <w:rFonts w:hint="eastAsia" w:ascii="仿宋_GB2312" w:hAnsi="仿宋_GB2312" w:eastAsia="仿宋_GB2312" w:cs="仿宋_GB2312"/>
          <w:sz w:val="21"/>
          <w:szCs w:val="21"/>
        </w:rPr>
        <w:t>如乙方工作人员提供的服务无法达到标准（如无法胜任工作、严重违纪等行为），甲方有权要求乙方更换工作人员。</w:t>
      </w:r>
    </w:p>
    <w:p w14:paraId="3EAC7962">
      <w:pPr>
        <w:pStyle w:val="6"/>
        <w:ind w:firstLine="420" w:firstLineChars="200"/>
        <w:jc w:val="both"/>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val="en-US" w:eastAsia="zh-CN"/>
        </w:rPr>
        <w:t>5.</w:t>
      </w:r>
      <w:r>
        <w:rPr>
          <w:rFonts w:hint="eastAsia" w:ascii="仿宋_GB2312" w:hAnsi="仿宋_GB2312" w:eastAsia="仿宋_GB2312" w:cs="仿宋_GB2312"/>
          <w:sz w:val="21"/>
          <w:szCs w:val="21"/>
        </w:rPr>
        <w:t>乙方驻场管理人员的派遣、调换均须经甲方书面同意。</w:t>
      </w:r>
    </w:p>
    <w:p w14:paraId="52B6A54B">
      <w:pPr>
        <w:pStyle w:val="6"/>
        <w:ind w:firstLine="420" w:firstLineChars="200"/>
        <w:jc w:val="both"/>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val="en-US" w:eastAsia="zh-CN"/>
        </w:rPr>
        <w:t>6.</w:t>
      </w:r>
      <w:r>
        <w:rPr>
          <w:rFonts w:hint="eastAsia" w:ascii="仿宋_GB2312" w:hAnsi="仿宋_GB2312" w:eastAsia="仿宋_GB2312" w:cs="仿宋_GB2312"/>
          <w:sz w:val="21"/>
          <w:szCs w:val="21"/>
        </w:rPr>
        <w:t>甲方按照合同要求按时向乙方支付服务费用。</w:t>
      </w:r>
    </w:p>
    <w:p w14:paraId="64EFE0CB">
      <w:pPr>
        <w:widowControl/>
        <w:adjustRightInd w:val="0"/>
        <w:snapToGrid w:val="0"/>
        <w:spacing w:line="360" w:lineRule="auto"/>
        <w:ind w:firstLine="422" w:firstLineChars="200"/>
        <w:textAlignment w:val="baseline"/>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rPr>
        <w:t>（二）乙方权利义务</w:t>
      </w:r>
    </w:p>
    <w:p w14:paraId="50CD2AAE">
      <w:pPr>
        <w:widowControl/>
        <w:autoSpaceDE w:val="0"/>
        <w:autoSpaceDN w:val="0"/>
        <w:adjustRightInd w:val="0"/>
        <w:snapToGrid w:val="0"/>
        <w:spacing w:line="360" w:lineRule="auto"/>
        <w:ind w:firstLine="420" w:firstLineChars="200"/>
        <w:textAlignment w:val="baseline"/>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1.乙方需建立规范的运维服务体系，保障提供7×24H一站式故障受理服务，并提供技术支持服务。</w:t>
      </w:r>
    </w:p>
    <w:p w14:paraId="2CE2ECA8">
      <w:pPr>
        <w:widowControl/>
        <w:autoSpaceDE w:val="0"/>
        <w:autoSpaceDN w:val="0"/>
        <w:adjustRightInd w:val="0"/>
        <w:snapToGrid w:val="0"/>
        <w:spacing w:line="360" w:lineRule="auto"/>
        <w:ind w:firstLine="420" w:firstLineChars="200"/>
        <w:textAlignment w:val="baseline"/>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lang w:val="en-US" w:eastAsia="zh-CN"/>
        </w:rPr>
        <w:t>2.</w:t>
      </w:r>
      <w:r>
        <w:rPr>
          <w:rFonts w:hint="eastAsia" w:ascii="仿宋_GB2312" w:hAnsi="仿宋_GB2312" w:eastAsia="仿宋_GB2312" w:cs="仿宋_GB2312"/>
          <w:color w:val="auto"/>
          <w:szCs w:val="21"/>
          <w:highlight w:val="none"/>
        </w:rPr>
        <w:t>乙方接到甲方通过电话、</w:t>
      </w:r>
      <w:r>
        <w:rPr>
          <w:rFonts w:hint="eastAsia" w:ascii="仿宋_GB2312" w:hAnsi="仿宋_GB2312" w:eastAsia="仿宋_GB2312" w:cs="仿宋_GB2312"/>
          <w:color w:val="auto"/>
          <w:szCs w:val="21"/>
          <w:highlight w:val="none"/>
          <w:lang w:eastAsia="zh-CN"/>
        </w:rPr>
        <w:t>信函</w:t>
      </w:r>
      <w:r>
        <w:rPr>
          <w:rFonts w:hint="eastAsia" w:ascii="仿宋_GB2312" w:hAnsi="仿宋_GB2312" w:eastAsia="仿宋_GB2312" w:cs="仿宋_GB2312"/>
          <w:color w:val="auto"/>
          <w:szCs w:val="21"/>
          <w:highlight w:val="none"/>
        </w:rPr>
        <w:t>、传真、电子邮件等方式提出关于软件的服务请求后，在当日内给予响应并提供服务。乙方在接到甲方通知后保证一小时内给出响应，二十四小时内恢复系统，三日内解决问题。</w:t>
      </w:r>
    </w:p>
    <w:p w14:paraId="30B845E7">
      <w:pPr>
        <w:widowControl/>
        <w:autoSpaceDE w:val="0"/>
        <w:autoSpaceDN w:val="0"/>
        <w:adjustRightInd w:val="0"/>
        <w:snapToGrid w:val="0"/>
        <w:spacing w:line="360" w:lineRule="auto"/>
        <w:ind w:firstLine="420" w:firstLineChars="200"/>
        <w:textAlignment w:val="baseline"/>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3.乙方不得中断服务，若因维护等原因需要中断服务的，必须征得甲方同意并提前做好相关准备工作。</w:t>
      </w:r>
    </w:p>
    <w:p w14:paraId="7173EF0C">
      <w:pPr>
        <w:widowControl/>
        <w:autoSpaceDE w:val="0"/>
        <w:autoSpaceDN w:val="0"/>
        <w:adjustRightInd w:val="0"/>
        <w:snapToGrid w:val="0"/>
        <w:spacing w:line="360" w:lineRule="auto"/>
        <w:ind w:firstLine="420" w:firstLineChars="200"/>
        <w:textAlignment w:val="baseline"/>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lang w:val="en-US" w:eastAsia="zh-CN"/>
        </w:rPr>
        <w:t>4.</w:t>
      </w:r>
      <w:r>
        <w:rPr>
          <w:rFonts w:hint="eastAsia" w:ascii="仿宋_GB2312" w:hAnsi="仿宋_GB2312" w:eastAsia="仿宋_GB2312" w:cs="仿宋_GB2312"/>
          <w:color w:val="auto"/>
          <w:szCs w:val="21"/>
          <w:highlight w:val="none"/>
        </w:rPr>
        <w:t>乙方的工作人员必须严格遵守甲方的规章制度</w:t>
      </w:r>
      <w:r>
        <w:rPr>
          <w:rFonts w:hint="eastAsia" w:ascii="仿宋_GB2312" w:hAnsi="仿宋_GB2312" w:eastAsia="仿宋_GB2312" w:cs="仿宋_GB2312"/>
          <w:color w:val="auto"/>
          <w:szCs w:val="21"/>
          <w:highlight w:val="none"/>
          <w:lang w:eastAsia="zh-CN"/>
        </w:rPr>
        <w:t>，</w:t>
      </w:r>
      <w:r>
        <w:rPr>
          <w:rFonts w:hint="eastAsia" w:ascii="仿宋_GB2312" w:hAnsi="仿宋_GB2312" w:eastAsia="仿宋_GB2312" w:cs="仿宋_GB2312"/>
          <w:color w:val="auto"/>
          <w:szCs w:val="21"/>
          <w:highlight w:val="none"/>
          <w:lang w:val="en-US" w:eastAsia="zh-CN"/>
        </w:rPr>
        <w:t>根据</w:t>
      </w:r>
      <w:r>
        <w:rPr>
          <w:rFonts w:hint="eastAsia" w:ascii="仿宋_GB2312" w:hAnsi="仿宋_GB2312" w:eastAsia="仿宋_GB2312" w:cs="仿宋_GB2312"/>
          <w:color w:val="auto"/>
          <w:szCs w:val="21"/>
          <w:highlight w:val="none"/>
        </w:rPr>
        <w:t>甲方统筹管理并按流程开展工作。</w:t>
      </w:r>
    </w:p>
    <w:p w14:paraId="1FC73063">
      <w:pPr>
        <w:widowControl/>
        <w:autoSpaceDE w:val="0"/>
        <w:autoSpaceDN w:val="0"/>
        <w:adjustRightInd w:val="0"/>
        <w:snapToGrid w:val="0"/>
        <w:spacing w:line="360" w:lineRule="auto"/>
        <w:ind w:firstLine="420" w:firstLineChars="200"/>
        <w:textAlignment w:val="baseline"/>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lang w:val="en-US" w:eastAsia="zh-CN"/>
        </w:rPr>
        <w:t>5</w:t>
      </w:r>
      <w:r>
        <w:rPr>
          <w:rFonts w:hint="eastAsia" w:ascii="仿宋_GB2312" w:hAnsi="仿宋_GB2312" w:eastAsia="仿宋_GB2312" w:cs="仿宋_GB2312"/>
          <w:color w:val="auto"/>
          <w:szCs w:val="21"/>
          <w:highlight w:val="none"/>
        </w:rPr>
        <w:t>.乙方提供给甲方的产品</w:t>
      </w:r>
      <w:r>
        <w:rPr>
          <w:rFonts w:hint="eastAsia" w:ascii="仿宋_GB2312" w:hAnsi="仿宋_GB2312" w:eastAsia="仿宋_GB2312" w:cs="仿宋_GB2312"/>
          <w:color w:val="auto"/>
          <w:szCs w:val="21"/>
          <w:highlight w:val="none"/>
          <w:lang w:eastAsia="zh-CN"/>
        </w:rPr>
        <w:t>（</w:t>
      </w:r>
      <w:r>
        <w:rPr>
          <w:rFonts w:hint="eastAsia" w:ascii="仿宋_GB2312" w:hAnsi="仿宋_GB2312" w:eastAsia="仿宋_GB2312" w:cs="仿宋_GB2312"/>
          <w:color w:val="auto"/>
          <w:szCs w:val="21"/>
          <w:highlight w:val="none"/>
        </w:rPr>
        <w:t>或服务</w:t>
      </w:r>
      <w:r>
        <w:rPr>
          <w:rFonts w:hint="eastAsia" w:ascii="仿宋_GB2312" w:hAnsi="仿宋_GB2312" w:eastAsia="仿宋_GB2312" w:cs="仿宋_GB2312"/>
          <w:color w:val="auto"/>
          <w:szCs w:val="21"/>
          <w:highlight w:val="none"/>
          <w:lang w:eastAsia="zh-CN"/>
        </w:rPr>
        <w:t>）</w:t>
      </w:r>
      <w:r>
        <w:rPr>
          <w:rFonts w:hint="eastAsia" w:ascii="仿宋_GB2312" w:hAnsi="仿宋_GB2312" w:eastAsia="仿宋_GB2312" w:cs="仿宋_GB2312"/>
          <w:color w:val="auto"/>
          <w:szCs w:val="21"/>
          <w:highlight w:val="none"/>
        </w:rPr>
        <w:t>，必须按照合同规定的内容进行。</w:t>
      </w:r>
    </w:p>
    <w:p w14:paraId="39758207">
      <w:pPr>
        <w:widowControl/>
        <w:autoSpaceDE w:val="0"/>
        <w:autoSpaceDN w:val="0"/>
        <w:adjustRightInd w:val="0"/>
        <w:snapToGrid w:val="0"/>
        <w:spacing w:line="360" w:lineRule="auto"/>
        <w:ind w:firstLine="420" w:firstLineChars="200"/>
        <w:textAlignment w:val="baseline"/>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lang w:val="en-US" w:eastAsia="zh-CN"/>
        </w:rPr>
        <w:t>6</w:t>
      </w:r>
      <w:r>
        <w:rPr>
          <w:rFonts w:hint="eastAsia" w:ascii="仿宋_GB2312" w:hAnsi="仿宋_GB2312" w:eastAsia="仿宋_GB2312" w:cs="仿宋_GB2312"/>
          <w:color w:val="auto"/>
          <w:szCs w:val="21"/>
          <w:highlight w:val="none"/>
        </w:rPr>
        <w:t>.乙方应配备具有特定经验的工作人员负责项目实施，按照本合同约定的标准、要求和时间完成服务项目。</w:t>
      </w:r>
    </w:p>
    <w:p w14:paraId="72BD91FB">
      <w:pPr>
        <w:widowControl/>
        <w:autoSpaceDE w:val="0"/>
        <w:autoSpaceDN w:val="0"/>
        <w:adjustRightInd w:val="0"/>
        <w:snapToGrid w:val="0"/>
        <w:spacing w:line="360" w:lineRule="auto"/>
        <w:ind w:firstLine="420" w:firstLineChars="200"/>
        <w:textAlignment w:val="baseline"/>
        <w:rPr>
          <w:rFonts w:hint="eastAsia" w:ascii="仿宋_GB2312" w:hAnsi="仿宋_GB2312" w:eastAsia="仿宋_GB2312" w:cs="仿宋_GB2312"/>
          <w:color w:val="auto"/>
          <w:szCs w:val="21"/>
          <w:highlight w:val="none"/>
          <w:lang w:eastAsia="zh-CN"/>
        </w:rPr>
      </w:pPr>
      <w:r>
        <w:rPr>
          <w:rFonts w:hint="eastAsia" w:ascii="仿宋_GB2312" w:hAnsi="仿宋_GB2312" w:eastAsia="仿宋_GB2312" w:cs="仿宋_GB2312"/>
          <w:color w:val="auto"/>
          <w:szCs w:val="21"/>
          <w:highlight w:val="none"/>
          <w:lang w:val="en-US" w:eastAsia="zh-CN"/>
        </w:rPr>
        <w:t>7.</w:t>
      </w:r>
      <w:r>
        <w:rPr>
          <w:rFonts w:hint="eastAsia" w:ascii="仿宋_GB2312" w:hAnsi="仿宋_GB2312" w:eastAsia="仿宋_GB2312" w:cs="仿宋_GB2312"/>
          <w:color w:val="auto"/>
          <w:szCs w:val="21"/>
          <w:highlight w:val="none"/>
        </w:rPr>
        <w:t>乙方不得以任何理由将本合同下的服务项目转包给第三方承担</w:t>
      </w:r>
      <w:r>
        <w:rPr>
          <w:rFonts w:hint="eastAsia" w:ascii="仿宋_GB2312" w:hAnsi="仿宋_GB2312" w:eastAsia="仿宋_GB2312" w:cs="仿宋_GB2312"/>
          <w:color w:val="auto"/>
          <w:szCs w:val="21"/>
          <w:highlight w:val="none"/>
          <w:lang w:eastAsia="zh-CN"/>
        </w:rPr>
        <w:t>。</w:t>
      </w:r>
    </w:p>
    <w:p w14:paraId="4C10A433">
      <w:pPr>
        <w:widowControl/>
        <w:autoSpaceDE w:val="0"/>
        <w:autoSpaceDN w:val="0"/>
        <w:adjustRightInd w:val="0"/>
        <w:snapToGrid w:val="0"/>
        <w:spacing w:line="360" w:lineRule="auto"/>
        <w:ind w:firstLine="422" w:firstLineChars="200"/>
        <w:textAlignment w:val="baseline"/>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lang w:val="en-US" w:eastAsia="zh-CN"/>
        </w:rPr>
        <w:t>八</w:t>
      </w:r>
      <w:r>
        <w:rPr>
          <w:rFonts w:hint="eastAsia" w:ascii="仿宋_GB2312" w:hAnsi="仿宋_GB2312" w:eastAsia="仿宋_GB2312" w:cs="仿宋_GB2312"/>
          <w:b/>
          <w:color w:val="auto"/>
          <w:szCs w:val="21"/>
          <w:highlight w:val="none"/>
        </w:rPr>
        <w:t>、保密责任</w:t>
      </w:r>
    </w:p>
    <w:p w14:paraId="58EF7A8B">
      <w:pPr>
        <w:widowControl/>
        <w:autoSpaceDE w:val="0"/>
        <w:autoSpaceDN w:val="0"/>
        <w:adjustRightInd w:val="0"/>
        <w:snapToGrid w:val="0"/>
        <w:spacing w:line="360" w:lineRule="auto"/>
        <w:ind w:firstLine="420" w:firstLineChars="200"/>
        <w:textAlignment w:val="baseline"/>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5840E0CA">
      <w:pPr>
        <w:widowControl/>
        <w:autoSpaceDE w:val="0"/>
        <w:autoSpaceDN w:val="0"/>
        <w:adjustRightInd w:val="0"/>
        <w:snapToGrid w:val="0"/>
        <w:spacing w:line="360" w:lineRule="auto"/>
        <w:ind w:firstLine="420" w:firstLineChars="200"/>
        <w:textAlignment w:val="baseline"/>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2.乙方应全面履行本项目实施过程中的相关安全管理职责。并严格遵守信息安全保密管理工作相关法律法规，因乙方未尽到管理职责发生安全或泄密事故的，由乙方</w:t>
      </w:r>
      <w:r>
        <w:rPr>
          <w:rFonts w:hint="eastAsia" w:ascii="仿宋_GB2312" w:hAnsi="仿宋_GB2312" w:eastAsia="仿宋_GB2312" w:cs="仿宋_GB2312"/>
          <w:color w:val="auto"/>
          <w:szCs w:val="21"/>
          <w:highlight w:val="none"/>
          <w:lang w:eastAsia="zh-CN"/>
        </w:rPr>
        <w:t>承担</w:t>
      </w:r>
      <w:r>
        <w:rPr>
          <w:rFonts w:hint="eastAsia" w:ascii="仿宋_GB2312" w:hAnsi="仿宋_GB2312" w:eastAsia="仿宋_GB2312" w:cs="仿宋_GB2312"/>
          <w:color w:val="auto"/>
          <w:szCs w:val="21"/>
          <w:highlight w:val="none"/>
        </w:rPr>
        <w:t>相应的法律责任。</w:t>
      </w:r>
    </w:p>
    <w:p w14:paraId="164D2E39">
      <w:pPr>
        <w:widowControl/>
        <w:autoSpaceDE w:val="0"/>
        <w:autoSpaceDN w:val="0"/>
        <w:adjustRightInd w:val="0"/>
        <w:snapToGrid w:val="0"/>
        <w:spacing w:line="360" w:lineRule="auto"/>
        <w:ind w:firstLine="422" w:firstLineChars="200"/>
        <w:textAlignment w:val="baseline"/>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lang w:val="en-US" w:eastAsia="zh-CN"/>
        </w:rPr>
        <w:t>九</w:t>
      </w:r>
      <w:r>
        <w:rPr>
          <w:rFonts w:hint="eastAsia" w:ascii="仿宋_GB2312" w:hAnsi="仿宋_GB2312" w:eastAsia="仿宋_GB2312" w:cs="仿宋_GB2312"/>
          <w:b/>
          <w:color w:val="auto"/>
          <w:szCs w:val="21"/>
          <w:highlight w:val="none"/>
        </w:rPr>
        <w:t>、违约责任</w:t>
      </w:r>
    </w:p>
    <w:p w14:paraId="40956112">
      <w:pPr>
        <w:widowControl/>
        <w:autoSpaceDE w:val="0"/>
        <w:autoSpaceDN w:val="0"/>
        <w:adjustRightInd w:val="0"/>
        <w:snapToGrid w:val="0"/>
        <w:spacing w:line="360" w:lineRule="auto"/>
        <w:ind w:firstLine="420" w:firstLineChars="200"/>
        <w:textAlignment w:val="baseline"/>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lang w:eastAsia="zh-CN"/>
        </w:rPr>
        <w:t>1.</w:t>
      </w:r>
      <w:r>
        <w:rPr>
          <w:rFonts w:hint="eastAsia" w:ascii="仿宋_GB2312" w:hAnsi="仿宋_GB2312" w:eastAsia="仿宋_GB2312" w:cs="仿宋_GB2312"/>
          <w:color w:val="auto"/>
          <w:szCs w:val="21"/>
          <w:highlight w:val="none"/>
        </w:rPr>
        <w:t>乙方未能按照约定或在甲方告知后12小时内进行维护或处理故障，每延误一次应承担总数额1%的违约金，还应承担因此给甲方造成的损失。</w:t>
      </w:r>
    </w:p>
    <w:p w14:paraId="366D6C44">
      <w:pPr>
        <w:widowControl/>
        <w:autoSpaceDE w:val="0"/>
        <w:autoSpaceDN w:val="0"/>
        <w:adjustRightInd w:val="0"/>
        <w:snapToGrid w:val="0"/>
        <w:spacing w:line="360" w:lineRule="auto"/>
        <w:ind w:firstLine="420" w:firstLineChars="200"/>
        <w:textAlignment w:val="baseline"/>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lang w:eastAsia="zh-CN"/>
        </w:rPr>
        <w:t>2.</w:t>
      </w:r>
      <w:r>
        <w:rPr>
          <w:rFonts w:hint="eastAsia" w:ascii="仿宋_GB2312" w:hAnsi="仿宋_GB2312" w:eastAsia="仿宋_GB2312" w:cs="仿宋_GB2312"/>
          <w:color w:val="auto"/>
          <w:szCs w:val="21"/>
          <w:highlight w:val="none"/>
        </w:rPr>
        <w:t>若乙方延误次数超过三次 甲方有权解除合同 双方对解除前的费用及违约金额进行结算剩余款项退还给甲方。</w:t>
      </w:r>
    </w:p>
    <w:p w14:paraId="6747A923">
      <w:pPr>
        <w:widowControl/>
        <w:autoSpaceDE w:val="0"/>
        <w:autoSpaceDN w:val="0"/>
        <w:adjustRightInd w:val="0"/>
        <w:snapToGrid w:val="0"/>
        <w:spacing w:line="360" w:lineRule="auto"/>
        <w:ind w:firstLine="420" w:firstLineChars="200"/>
        <w:textAlignment w:val="baseline"/>
        <w:rPr>
          <w:rFonts w:hint="eastAsia" w:ascii="仿宋_GB2312" w:hAnsi="仿宋_GB2312" w:eastAsia="仿宋_GB2312" w:cs="仿宋_GB2312"/>
          <w:color w:val="auto"/>
          <w:szCs w:val="21"/>
          <w:highlight w:val="none"/>
          <w:lang w:val="en-US" w:eastAsia="zh-CN"/>
        </w:rPr>
      </w:pPr>
      <w:r>
        <w:rPr>
          <w:rFonts w:hint="eastAsia" w:ascii="仿宋_GB2312" w:hAnsi="仿宋_GB2312" w:eastAsia="仿宋_GB2312" w:cs="仿宋_GB2312"/>
          <w:color w:val="auto"/>
          <w:szCs w:val="21"/>
          <w:highlight w:val="none"/>
          <w:lang w:val="en-US" w:eastAsia="zh-CN"/>
        </w:rPr>
        <w:t>3.未按合同要求提供维保服务或维保服务内容、服务质量不能满足合同、竞争性磋商文件、响应文件等的要求，乙方必须无条件按甲方要求的时限进行整改，否则，甲方有权单方解除终止合同，解除合同书面通知书到达乙方之日视为合同已解除，按以下两种方式追究乙方的违约责任，并对乙方的违约行为报监管机构进行相应的处罚。</w:t>
      </w:r>
    </w:p>
    <w:p w14:paraId="69A49114">
      <w:pPr>
        <w:widowControl/>
        <w:autoSpaceDE w:val="0"/>
        <w:autoSpaceDN w:val="0"/>
        <w:adjustRightInd w:val="0"/>
        <w:snapToGrid w:val="0"/>
        <w:spacing w:line="360" w:lineRule="auto"/>
        <w:ind w:firstLine="420" w:firstLineChars="200"/>
        <w:textAlignment w:val="baseline"/>
        <w:rPr>
          <w:rFonts w:hint="eastAsia" w:ascii="仿宋_GB2312" w:hAnsi="仿宋_GB2312" w:eastAsia="仿宋_GB2312" w:cs="仿宋_GB2312"/>
          <w:color w:val="auto"/>
          <w:szCs w:val="21"/>
          <w:highlight w:val="none"/>
          <w:lang w:val="en-US" w:eastAsia="zh-CN"/>
        </w:rPr>
      </w:pPr>
      <w:r>
        <w:rPr>
          <w:rFonts w:hint="eastAsia" w:ascii="仿宋_GB2312" w:hAnsi="仿宋_GB2312" w:eastAsia="仿宋_GB2312" w:cs="仿宋_GB2312"/>
          <w:color w:val="auto"/>
          <w:szCs w:val="21"/>
          <w:highlight w:val="none"/>
          <w:lang w:val="en-US" w:eastAsia="zh-CN"/>
        </w:rPr>
        <w:t>（1）乙方赔偿甲方解除合同的全部损失（包括但不限于重新采购产生的费用、合同未履行导致设备不能使用可能产生的租赁费用及其它由此造成的甲方对第三方的违约损失）；</w:t>
      </w:r>
    </w:p>
    <w:p w14:paraId="2BAAE8A6">
      <w:pPr>
        <w:widowControl/>
        <w:autoSpaceDE w:val="0"/>
        <w:autoSpaceDN w:val="0"/>
        <w:adjustRightInd w:val="0"/>
        <w:snapToGrid w:val="0"/>
        <w:spacing w:line="360" w:lineRule="auto"/>
        <w:ind w:firstLine="420" w:firstLineChars="200"/>
        <w:textAlignment w:val="baseline"/>
        <w:rPr>
          <w:rFonts w:hint="eastAsia" w:ascii="仿宋_GB2312" w:hAnsi="仿宋_GB2312" w:eastAsia="仿宋_GB2312" w:cs="仿宋_GB2312"/>
          <w:color w:val="auto"/>
          <w:szCs w:val="21"/>
          <w:highlight w:val="none"/>
          <w:lang w:val="en-US" w:eastAsia="zh-CN"/>
        </w:rPr>
      </w:pPr>
      <w:r>
        <w:rPr>
          <w:rFonts w:hint="eastAsia" w:ascii="仿宋_GB2312" w:hAnsi="仿宋_GB2312" w:eastAsia="仿宋_GB2312" w:cs="仿宋_GB2312"/>
          <w:color w:val="auto"/>
          <w:szCs w:val="21"/>
          <w:highlight w:val="none"/>
          <w:lang w:val="en-US" w:eastAsia="zh-CN"/>
        </w:rPr>
        <w:t>（2）乙方支付甲方违约金，违约金计算方法：以合同总价为基数，支付甲方合同总价的【  】%为违约金。</w:t>
      </w:r>
    </w:p>
    <w:p w14:paraId="3C77CEC5">
      <w:pPr>
        <w:pStyle w:val="2"/>
        <w:ind w:firstLine="420" w:firstLineChars="200"/>
        <w:rPr>
          <w:rFonts w:hint="eastAsia" w:ascii="仿宋_GB2312" w:hAnsi="仿宋_GB2312" w:eastAsia="仿宋_GB2312" w:cs="仿宋_GB2312"/>
          <w:color w:val="auto"/>
          <w:szCs w:val="21"/>
          <w:highlight w:val="none"/>
          <w:lang w:val="en-US" w:eastAsia="zh-CN"/>
        </w:rPr>
      </w:pPr>
      <w:r>
        <w:rPr>
          <w:rFonts w:hint="eastAsia" w:ascii="仿宋_GB2312" w:hAnsi="仿宋_GB2312" w:eastAsia="仿宋_GB2312" w:cs="仿宋_GB2312"/>
          <w:color w:val="auto"/>
          <w:szCs w:val="21"/>
          <w:highlight w:val="none"/>
          <w:lang w:val="en-US" w:eastAsia="zh-CN"/>
        </w:rPr>
        <w:t>4.由于乙方技术或其他原因造成甲方原有故障之外的故障或配件损坏，乙方负责免费修复或更换配件，无法修复的，乙方应赔偿由此给甲方造成的全部损失。</w:t>
      </w:r>
    </w:p>
    <w:p w14:paraId="4D546775">
      <w:pPr>
        <w:pStyle w:val="2"/>
        <w:rPr>
          <w:rFonts w:hint="eastAsia" w:ascii="仿宋_GB2312" w:hAnsi="仿宋_GB2312" w:eastAsia="仿宋_GB2312" w:cs="仿宋_GB2312"/>
          <w:lang w:val="en-US" w:eastAsia="zh-CN"/>
        </w:rPr>
      </w:pPr>
    </w:p>
    <w:p w14:paraId="31C511BB">
      <w:pPr>
        <w:widowControl/>
        <w:autoSpaceDE w:val="0"/>
        <w:autoSpaceDN w:val="0"/>
        <w:adjustRightInd w:val="0"/>
        <w:snapToGrid w:val="0"/>
        <w:spacing w:line="360" w:lineRule="auto"/>
        <w:ind w:firstLine="422" w:firstLineChars="200"/>
        <w:textAlignment w:val="baseline"/>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rPr>
        <w:t xml:space="preserve">十、协议解除或终止 </w:t>
      </w:r>
    </w:p>
    <w:p w14:paraId="6885AE17">
      <w:pPr>
        <w:widowControl/>
        <w:autoSpaceDE w:val="0"/>
        <w:autoSpaceDN w:val="0"/>
        <w:adjustRightInd w:val="0"/>
        <w:snapToGrid w:val="0"/>
        <w:spacing w:line="360" w:lineRule="auto"/>
        <w:ind w:firstLine="420" w:firstLineChars="200"/>
        <w:textAlignment w:val="baseline"/>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 xml:space="preserve">（一）除本合同另有规定外，在发生以下情况时，甲方有权在向乙方发出终止通知后终止本合同： </w:t>
      </w:r>
    </w:p>
    <w:p w14:paraId="704EC363">
      <w:pPr>
        <w:widowControl/>
        <w:autoSpaceDE w:val="0"/>
        <w:autoSpaceDN w:val="0"/>
        <w:adjustRightInd w:val="0"/>
        <w:snapToGrid w:val="0"/>
        <w:spacing w:line="360" w:lineRule="auto"/>
        <w:ind w:firstLine="420" w:firstLineChars="200"/>
        <w:textAlignment w:val="baseline"/>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 xml:space="preserve">1.乙方未履行合同规定的义务并且在接到甲方通知后 7 天内或乙方在甲方同意延长的时间内仍未履行的。 </w:t>
      </w:r>
    </w:p>
    <w:p w14:paraId="66404F1B">
      <w:pPr>
        <w:widowControl/>
        <w:autoSpaceDE w:val="0"/>
        <w:autoSpaceDN w:val="0"/>
        <w:adjustRightInd w:val="0"/>
        <w:snapToGrid w:val="0"/>
        <w:spacing w:line="360" w:lineRule="auto"/>
        <w:ind w:firstLine="420" w:firstLineChars="200"/>
        <w:textAlignment w:val="baseline"/>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2.因乙方的过错导致甲方的</w:t>
      </w:r>
      <w:r>
        <w:rPr>
          <w:rFonts w:hint="eastAsia" w:ascii="仿宋_GB2312" w:hAnsi="仿宋_GB2312" w:eastAsia="仿宋_GB2312" w:cs="仿宋_GB2312"/>
          <w:bCs/>
          <w:color w:val="auto"/>
          <w:szCs w:val="21"/>
          <w:highlight w:val="none"/>
          <w:lang w:val="en-US" w:eastAsia="zh-CN"/>
        </w:rPr>
        <w:t>工作</w:t>
      </w:r>
      <w:r>
        <w:rPr>
          <w:rFonts w:hint="eastAsia" w:ascii="仿宋_GB2312" w:hAnsi="仿宋_GB2312" w:eastAsia="仿宋_GB2312" w:cs="仿宋_GB2312"/>
          <w:bCs/>
          <w:color w:val="auto"/>
          <w:szCs w:val="21"/>
          <w:highlight w:val="none"/>
        </w:rPr>
        <w:t xml:space="preserve">延迟超过 1 周。 </w:t>
      </w:r>
    </w:p>
    <w:p w14:paraId="1DE4EAC7">
      <w:pPr>
        <w:widowControl/>
        <w:autoSpaceDE w:val="0"/>
        <w:autoSpaceDN w:val="0"/>
        <w:adjustRightInd w:val="0"/>
        <w:snapToGrid w:val="0"/>
        <w:spacing w:line="360" w:lineRule="auto"/>
        <w:ind w:firstLine="420" w:firstLineChars="200"/>
        <w:textAlignment w:val="baseline"/>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 xml:space="preserve">（二）发生以下情况时，任何一方有权在向另一方发出终止通知后终止本合同： </w:t>
      </w:r>
    </w:p>
    <w:p w14:paraId="29FE83B0">
      <w:pPr>
        <w:widowControl/>
        <w:autoSpaceDE w:val="0"/>
        <w:autoSpaceDN w:val="0"/>
        <w:adjustRightInd w:val="0"/>
        <w:snapToGrid w:val="0"/>
        <w:spacing w:line="360" w:lineRule="auto"/>
        <w:ind w:firstLine="420" w:firstLineChars="200"/>
        <w:textAlignment w:val="baseline"/>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 xml:space="preserve">1.一方破产或无清偿能力； </w:t>
      </w:r>
    </w:p>
    <w:p w14:paraId="5D427E3F">
      <w:pPr>
        <w:widowControl/>
        <w:autoSpaceDE w:val="0"/>
        <w:autoSpaceDN w:val="0"/>
        <w:adjustRightInd w:val="0"/>
        <w:snapToGrid w:val="0"/>
        <w:spacing w:line="360" w:lineRule="auto"/>
        <w:ind w:firstLine="420" w:firstLineChars="200"/>
        <w:textAlignment w:val="baseline"/>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 xml:space="preserve">2.不可抗力事件阻碍任何一方履行其合同义务持续超过 30 天； </w:t>
      </w:r>
    </w:p>
    <w:p w14:paraId="056B2431">
      <w:pPr>
        <w:widowControl/>
        <w:autoSpaceDE w:val="0"/>
        <w:autoSpaceDN w:val="0"/>
        <w:adjustRightInd w:val="0"/>
        <w:snapToGrid w:val="0"/>
        <w:spacing w:line="360" w:lineRule="auto"/>
        <w:ind w:firstLine="420" w:firstLineChars="200"/>
        <w:textAlignment w:val="baseline"/>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 xml:space="preserve">3.因本条而终止时，乙方仅有权就其在终止之前已履行的服务获得付款。 </w:t>
      </w:r>
    </w:p>
    <w:p w14:paraId="668D0417">
      <w:pPr>
        <w:widowControl/>
        <w:autoSpaceDE w:val="0"/>
        <w:autoSpaceDN w:val="0"/>
        <w:adjustRightInd w:val="0"/>
        <w:snapToGrid w:val="0"/>
        <w:spacing w:line="360" w:lineRule="auto"/>
        <w:ind w:firstLine="422" w:firstLineChars="200"/>
        <w:textAlignment w:val="baseline"/>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rPr>
        <w:t>十</w:t>
      </w:r>
      <w:r>
        <w:rPr>
          <w:rFonts w:hint="eastAsia" w:ascii="仿宋_GB2312" w:hAnsi="仿宋_GB2312" w:eastAsia="仿宋_GB2312" w:cs="仿宋_GB2312"/>
          <w:b/>
          <w:color w:val="auto"/>
          <w:szCs w:val="21"/>
          <w:highlight w:val="none"/>
          <w:lang w:val="en-US" w:eastAsia="zh-CN"/>
        </w:rPr>
        <w:t>一</w:t>
      </w:r>
      <w:r>
        <w:rPr>
          <w:rFonts w:hint="eastAsia" w:ascii="仿宋_GB2312" w:hAnsi="仿宋_GB2312" w:eastAsia="仿宋_GB2312" w:cs="仿宋_GB2312"/>
          <w:b/>
          <w:color w:val="auto"/>
          <w:szCs w:val="21"/>
          <w:highlight w:val="none"/>
        </w:rPr>
        <w:t>、解决争议方式</w:t>
      </w:r>
    </w:p>
    <w:p w14:paraId="129039BA">
      <w:pPr>
        <w:widowControl/>
        <w:autoSpaceDE w:val="0"/>
        <w:autoSpaceDN w:val="0"/>
        <w:adjustRightInd w:val="0"/>
        <w:snapToGrid w:val="0"/>
        <w:spacing w:line="360" w:lineRule="auto"/>
        <w:ind w:firstLine="420" w:firstLineChars="200"/>
        <w:textAlignment w:val="baseline"/>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本合同在履行过程中发生的争议，由甲、乙双方当事人协商解决，协商不成的依法向甲方所在地人民法院起诉。</w:t>
      </w:r>
    </w:p>
    <w:p w14:paraId="337EFE03">
      <w:pPr>
        <w:widowControl/>
        <w:autoSpaceDE w:val="0"/>
        <w:autoSpaceDN w:val="0"/>
        <w:adjustRightInd w:val="0"/>
        <w:snapToGrid w:val="0"/>
        <w:spacing w:line="360" w:lineRule="auto"/>
        <w:ind w:firstLine="422" w:firstLineChars="200"/>
        <w:textAlignment w:val="baseline"/>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rPr>
        <w:t>十</w:t>
      </w:r>
      <w:r>
        <w:rPr>
          <w:rFonts w:hint="eastAsia" w:ascii="仿宋_GB2312" w:hAnsi="仿宋_GB2312" w:eastAsia="仿宋_GB2312" w:cs="仿宋_GB2312"/>
          <w:b/>
          <w:color w:val="auto"/>
          <w:szCs w:val="21"/>
          <w:highlight w:val="none"/>
          <w:lang w:val="en-US" w:eastAsia="zh-CN"/>
        </w:rPr>
        <w:t>二</w:t>
      </w:r>
      <w:r>
        <w:rPr>
          <w:rFonts w:hint="eastAsia" w:ascii="仿宋_GB2312" w:hAnsi="仿宋_GB2312" w:eastAsia="仿宋_GB2312" w:cs="仿宋_GB2312"/>
          <w:b/>
          <w:color w:val="auto"/>
          <w:szCs w:val="21"/>
          <w:highlight w:val="none"/>
        </w:rPr>
        <w:t>、组成本合同的文件</w:t>
      </w:r>
    </w:p>
    <w:p w14:paraId="4C76AB2E">
      <w:pPr>
        <w:widowControl/>
        <w:autoSpaceDE w:val="0"/>
        <w:autoSpaceDN w:val="0"/>
        <w:adjustRightInd w:val="0"/>
        <w:snapToGrid w:val="0"/>
        <w:spacing w:line="360" w:lineRule="auto"/>
        <w:ind w:firstLine="420" w:firstLineChars="200"/>
        <w:textAlignment w:val="baseline"/>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（一）本合同中的词语和术语的含义与合同条款中定义的相同。</w:t>
      </w:r>
    </w:p>
    <w:p w14:paraId="2DBE451A">
      <w:pPr>
        <w:widowControl/>
        <w:autoSpaceDE w:val="0"/>
        <w:autoSpaceDN w:val="0"/>
        <w:adjustRightInd w:val="0"/>
        <w:snapToGrid w:val="0"/>
        <w:spacing w:line="360" w:lineRule="auto"/>
        <w:ind w:firstLine="420" w:firstLineChars="200"/>
        <w:textAlignment w:val="baseline"/>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（二）下列文件是本合同的组成部分，并与本合同一起阅读和解释：</w:t>
      </w:r>
    </w:p>
    <w:p w14:paraId="1F238582">
      <w:pPr>
        <w:widowControl/>
        <w:autoSpaceDE w:val="0"/>
        <w:autoSpaceDN w:val="0"/>
        <w:adjustRightInd w:val="0"/>
        <w:snapToGrid w:val="0"/>
        <w:spacing w:line="360" w:lineRule="auto"/>
        <w:ind w:firstLine="420" w:firstLineChars="200"/>
        <w:textAlignment w:val="baseline"/>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1.成交通知书</w:t>
      </w:r>
    </w:p>
    <w:p w14:paraId="13B92FC2">
      <w:pPr>
        <w:widowControl/>
        <w:autoSpaceDE w:val="0"/>
        <w:autoSpaceDN w:val="0"/>
        <w:adjustRightInd w:val="0"/>
        <w:snapToGrid w:val="0"/>
        <w:spacing w:line="360" w:lineRule="auto"/>
        <w:ind w:firstLine="420" w:firstLineChars="200"/>
        <w:textAlignment w:val="baseline"/>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2.磋商响应文件</w:t>
      </w:r>
    </w:p>
    <w:p w14:paraId="3DC745E3">
      <w:pPr>
        <w:widowControl/>
        <w:autoSpaceDE w:val="0"/>
        <w:autoSpaceDN w:val="0"/>
        <w:adjustRightInd w:val="0"/>
        <w:snapToGrid w:val="0"/>
        <w:spacing w:line="360" w:lineRule="auto"/>
        <w:ind w:firstLine="420" w:firstLineChars="200"/>
        <w:textAlignment w:val="baseline"/>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3.磋商文件</w:t>
      </w:r>
    </w:p>
    <w:p w14:paraId="60BD36AB">
      <w:pPr>
        <w:widowControl/>
        <w:autoSpaceDE w:val="0"/>
        <w:autoSpaceDN w:val="0"/>
        <w:adjustRightInd w:val="0"/>
        <w:snapToGrid w:val="0"/>
        <w:spacing w:line="360" w:lineRule="auto"/>
        <w:ind w:firstLine="420" w:firstLineChars="200"/>
        <w:textAlignment w:val="baseline"/>
        <w:rPr>
          <w:rFonts w:hint="eastAsia" w:ascii="仿宋_GB2312" w:hAnsi="仿宋_GB2312" w:eastAsia="仿宋_GB2312" w:cs="仿宋_GB2312"/>
          <w:bCs/>
          <w:color w:val="auto"/>
          <w:szCs w:val="21"/>
          <w:highlight w:val="none"/>
          <w:lang w:val="en-US" w:eastAsia="zh-CN"/>
        </w:rPr>
      </w:pPr>
      <w:r>
        <w:rPr>
          <w:rFonts w:hint="eastAsia" w:ascii="仿宋_GB2312" w:hAnsi="仿宋_GB2312" w:eastAsia="仿宋_GB2312" w:cs="仿宋_GB2312"/>
          <w:bCs/>
          <w:color w:val="auto"/>
          <w:szCs w:val="21"/>
          <w:highlight w:val="none"/>
          <w:lang w:val="en-US" w:eastAsia="zh-CN"/>
        </w:rPr>
        <w:t>4.澄清、答疑文件（如有）</w:t>
      </w:r>
    </w:p>
    <w:p w14:paraId="584ACED3">
      <w:pPr>
        <w:widowControl/>
        <w:autoSpaceDE w:val="0"/>
        <w:autoSpaceDN w:val="0"/>
        <w:adjustRightInd w:val="0"/>
        <w:snapToGrid w:val="0"/>
        <w:spacing w:line="360" w:lineRule="auto"/>
        <w:ind w:firstLine="420" w:firstLineChars="200"/>
        <w:textAlignment w:val="baseline"/>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Cs/>
          <w:color w:val="auto"/>
          <w:szCs w:val="21"/>
          <w:highlight w:val="none"/>
          <w:lang w:val="en-US" w:eastAsia="zh-CN"/>
        </w:rPr>
        <w:t>5</w:t>
      </w:r>
      <w:r>
        <w:rPr>
          <w:rFonts w:hint="eastAsia" w:ascii="仿宋_GB2312" w:hAnsi="仿宋_GB2312" w:eastAsia="仿宋_GB2312" w:cs="仿宋_GB2312"/>
          <w:bCs/>
          <w:color w:val="auto"/>
          <w:szCs w:val="21"/>
          <w:highlight w:val="none"/>
        </w:rPr>
        <w:t>.本合同签订后，双方依法签订的补充协议也是本合同文件的组成部分。</w:t>
      </w:r>
    </w:p>
    <w:p w14:paraId="2F685216">
      <w:pPr>
        <w:widowControl/>
        <w:autoSpaceDE w:val="0"/>
        <w:autoSpaceDN w:val="0"/>
        <w:adjustRightInd w:val="0"/>
        <w:snapToGrid w:val="0"/>
        <w:spacing w:line="360" w:lineRule="auto"/>
        <w:ind w:firstLine="422" w:firstLineChars="200"/>
        <w:textAlignment w:val="baseline"/>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rPr>
        <w:t>十</w:t>
      </w:r>
      <w:r>
        <w:rPr>
          <w:rFonts w:hint="eastAsia" w:ascii="仿宋_GB2312" w:hAnsi="仿宋_GB2312" w:eastAsia="仿宋_GB2312" w:cs="仿宋_GB2312"/>
          <w:b/>
          <w:color w:val="auto"/>
          <w:szCs w:val="21"/>
          <w:highlight w:val="none"/>
          <w:lang w:val="en-US" w:eastAsia="zh-CN"/>
        </w:rPr>
        <w:t>三</w:t>
      </w:r>
      <w:r>
        <w:rPr>
          <w:rFonts w:hint="eastAsia" w:ascii="仿宋_GB2312" w:hAnsi="仿宋_GB2312" w:eastAsia="仿宋_GB2312" w:cs="仿宋_GB2312"/>
          <w:b/>
          <w:color w:val="auto"/>
          <w:szCs w:val="21"/>
          <w:highlight w:val="none"/>
        </w:rPr>
        <w:t>、合同生效及其他</w:t>
      </w:r>
    </w:p>
    <w:p w14:paraId="422BDE5D">
      <w:pPr>
        <w:widowControl/>
        <w:autoSpaceDE w:val="0"/>
        <w:autoSpaceDN w:val="0"/>
        <w:adjustRightInd w:val="0"/>
        <w:snapToGrid w:val="0"/>
        <w:spacing w:line="360" w:lineRule="auto"/>
        <w:ind w:firstLine="420" w:firstLineChars="200"/>
        <w:textAlignment w:val="baseline"/>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1.本合同须经甲、乙双方签字盖章后正式生效。</w:t>
      </w:r>
    </w:p>
    <w:p w14:paraId="5C121DB7">
      <w:pPr>
        <w:widowControl/>
        <w:autoSpaceDE w:val="0"/>
        <w:autoSpaceDN w:val="0"/>
        <w:adjustRightInd w:val="0"/>
        <w:snapToGrid w:val="0"/>
        <w:spacing w:line="360" w:lineRule="auto"/>
        <w:ind w:firstLine="420" w:firstLineChars="200"/>
        <w:textAlignment w:val="baseline"/>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2.合同生效后，甲、乙双方须严格执行本合同条款的规定，全面履行合同，违者按《中华人民共和国民法典》的有关规定承担相应责任。</w:t>
      </w:r>
    </w:p>
    <w:p w14:paraId="7A0D09F8">
      <w:pPr>
        <w:widowControl/>
        <w:autoSpaceDE w:val="0"/>
        <w:autoSpaceDN w:val="0"/>
        <w:adjustRightInd w:val="0"/>
        <w:snapToGrid w:val="0"/>
        <w:spacing w:line="360" w:lineRule="auto"/>
        <w:ind w:firstLine="420" w:firstLineChars="200"/>
        <w:textAlignment w:val="baseline"/>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3.本合同一式</w:t>
      </w:r>
      <w:r>
        <w:rPr>
          <w:rFonts w:hint="eastAsia" w:ascii="仿宋_GB2312" w:hAnsi="仿宋_GB2312" w:eastAsia="仿宋_GB2312" w:cs="仿宋_GB2312"/>
          <w:color w:val="auto"/>
          <w:szCs w:val="21"/>
          <w:highlight w:val="none"/>
          <w:u w:val="single"/>
        </w:rPr>
        <w:t xml:space="preserve"> </w:t>
      </w:r>
      <w:r>
        <w:rPr>
          <w:rFonts w:hint="eastAsia" w:ascii="仿宋_GB2312" w:hAnsi="仿宋_GB2312" w:eastAsia="仿宋_GB2312" w:cs="仿宋_GB2312"/>
          <w:color w:val="auto"/>
          <w:szCs w:val="21"/>
          <w:highlight w:val="none"/>
          <w:u w:val="single"/>
          <w:lang w:val="en-US" w:eastAsia="zh-CN"/>
        </w:rPr>
        <w:t xml:space="preserve">拾 </w:t>
      </w:r>
      <w:r>
        <w:rPr>
          <w:rFonts w:hint="eastAsia" w:ascii="仿宋_GB2312" w:hAnsi="仿宋_GB2312" w:eastAsia="仿宋_GB2312" w:cs="仿宋_GB2312"/>
          <w:color w:val="auto"/>
          <w:szCs w:val="21"/>
          <w:highlight w:val="none"/>
          <w:u w:val="single"/>
        </w:rPr>
        <w:t xml:space="preserve"> </w:t>
      </w:r>
      <w:r>
        <w:rPr>
          <w:rFonts w:hint="eastAsia" w:ascii="仿宋_GB2312" w:hAnsi="仿宋_GB2312" w:eastAsia="仿宋_GB2312" w:cs="仿宋_GB2312"/>
          <w:color w:val="auto"/>
          <w:szCs w:val="21"/>
          <w:highlight w:val="none"/>
        </w:rPr>
        <w:t>份，甲方持</w:t>
      </w:r>
      <w:r>
        <w:rPr>
          <w:rFonts w:hint="eastAsia" w:ascii="仿宋_GB2312" w:hAnsi="仿宋_GB2312" w:eastAsia="仿宋_GB2312" w:cs="仿宋_GB2312"/>
          <w:color w:val="auto"/>
          <w:szCs w:val="21"/>
          <w:highlight w:val="none"/>
          <w:u w:val="single"/>
        </w:rPr>
        <w:t xml:space="preserve"> </w:t>
      </w:r>
      <w:r>
        <w:rPr>
          <w:rFonts w:hint="eastAsia" w:ascii="仿宋_GB2312" w:hAnsi="仿宋_GB2312" w:eastAsia="仿宋_GB2312" w:cs="仿宋_GB2312"/>
          <w:color w:val="auto"/>
          <w:szCs w:val="21"/>
          <w:highlight w:val="none"/>
          <w:u w:val="single"/>
          <w:lang w:val="en-US" w:eastAsia="zh-CN"/>
        </w:rPr>
        <w:t xml:space="preserve"> 柒</w:t>
      </w:r>
      <w:r>
        <w:rPr>
          <w:rFonts w:hint="eastAsia" w:ascii="仿宋_GB2312" w:hAnsi="仿宋_GB2312" w:eastAsia="仿宋_GB2312" w:cs="仿宋_GB2312"/>
          <w:color w:val="auto"/>
          <w:szCs w:val="21"/>
          <w:highlight w:val="none"/>
          <w:u w:val="single"/>
        </w:rPr>
        <w:t xml:space="preserve"> </w:t>
      </w:r>
      <w:r>
        <w:rPr>
          <w:rFonts w:hint="eastAsia" w:ascii="仿宋_GB2312" w:hAnsi="仿宋_GB2312" w:eastAsia="仿宋_GB2312" w:cs="仿宋_GB2312"/>
          <w:color w:val="auto"/>
          <w:szCs w:val="21"/>
          <w:highlight w:val="none"/>
        </w:rPr>
        <w:t>份，乙方持</w:t>
      </w:r>
      <w:r>
        <w:rPr>
          <w:rFonts w:hint="eastAsia" w:ascii="仿宋_GB2312" w:hAnsi="仿宋_GB2312" w:eastAsia="仿宋_GB2312" w:cs="仿宋_GB2312"/>
          <w:color w:val="auto"/>
          <w:szCs w:val="21"/>
          <w:highlight w:val="none"/>
          <w:u w:val="single"/>
        </w:rPr>
        <w:t xml:space="preserve"> </w:t>
      </w:r>
      <w:r>
        <w:rPr>
          <w:rFonts w:hint="eastAsia" w:ascii="仿宋_GB2312" w:hAnsi="仿宋_GB2312" w:eastAsia="仿宋_GB2312" w:cs="仿宋_GB2312"/>
          <w:color w:val="auto"/>
          <w:szCs w:val="21"/>
          <w:highlight w:val="none"/>
          <w:u w:val="single"/>
          <w:lang w:val="en-US" w:eastAsia="zh-CN"/>
        </w:rPr>
        <w:t xml:space="preserve">叁 </w:t>
      </w:r>
      <w:r>
        <w:rPr>
          <w:rFonts w:hint="eastAsia" w:ascii="仿宋_GB2312" w:hAnsi="仿宋_GB2312" w:eastAsia="仿宋_GB2312" w:cs="仿宋_GB2312"/>
          <w:color w:val="auto"/>
          <w:szCs w:val="21"/>
          <w:highlight w:val="none"/>
          <w:u w:val="single"/>
        </w:rPr>
        <w:t xml:space="preserve"> </w:t>
      </w:r>
      <w:r>
        <w:rPr>
          <w:rFonts w:hint="eastAsia" w:ascii="仿宋_GB2312" w:hAnsi="仿宋_GB2312" w:eastAsia="仿宋_GB2312" w:cs="仿宋_GB2312"/>
          <w:color w:val="auto"/>
          <w:szCs w:val="21"/>
          <w:highlight w:val="none"/>
        </w:rPr>
        <w:t>份，西安市财政局政府采购管理处备案</w:t>
      </w:r>
      <w:r>
        <w:rPr>
          <w:rFonts w:hint="eastAsia" w:ascii="仿宋_GB2312" w:hAnsi="仿宋_GB2312" w:eastAsia="仿宋_GB2312" w:cs="仿宋_GB2312"/>
          <w:color w:val="auto"/>
          <w:szCs w:val="21"/>
          <w:highlight w:val="none"/>
          <w:u w:val="single"/>
        </w:rPr>
        <w:t xml:space="preserve"> 1 </w:t>
      </w:r>
      <w:r>
        <w:rPr>
          <w:rFonts w:hint="eastAsia" w:ascii="仿宋_GB2312" w:hAnsi="仿宋_GB2312" w:eastAsia="仿宋_GB2312" w:cs="仿宋_GB2312"/>
          <w:color w:val="auto"/>
          <w:szCs w:val="21"/>
          <w:highlight w:val="none"/>
        </w:rPr>
        <w:t>份。</w:t>
      </w:r>
    </w:p>
    <w:p w14:paraId="09F36ADF">
      <w:pPr>
        <w:widowControl/>
        <w:autoSpaceDE w:val="0"/>
        <w:autoSpaceDN w:val="0"/>
        <w:adjustRightInd w:val="0"/>
        <w:snapToGrid w:val="0"/>
        <w:spacing w:line="360" w:lineRule="auto"/>
        <w:ind w:firstLine="420" w:firstLineChars="200"/>
        <w:textAlignment w:val="baseline"/>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4.本合同如有未尽事宜，甲、乙双方协商解决。</w:t>
      </w:r>
    </w:p>
    <w:p w14:paraId="53B5F7FF">
      <w:pPr>
        <w:widowControl/>
        <w:autoSpaceDE w:val="0"/>
        <w:autoSpaceDN w:val="0"/>
        <w:adjustRightInd w:val="0"/>
        <w:snapToGrid w:val="0"/>
        <w:spacing w:line="360" w:lineRule="auto"/>
        <w:ind w:firstLine="420" w:firstLineChars="200"/>
        <w:textAlignment w:val="baseline"/>
        <w:rPr>
          <w:rFonts w:hint="eastAsia" w:ascii="仿宋_GB2312" w:hAnsi="仿宋_GB2312" w:eastAsia="仿宋_GB2312" w:cs="仿宋_GB2312"/>
          <w:bCs/>
          <w:color w:val="auto"/>
          <w:szCs w:val="21"/>
          <w:highlight w:val="none"/>
        </w:rPr>
      </w:pPr>
      <w:r>
        <w:rPr>
          <w:rFonts w:hint="eastAsia" w:ascii="仿宋_GB2312" w:hAnsi="仿宋_GB2312" w:eastAsia="仿宋_GB2312" w:cs="仿宋_GB2312"/>
          <w:bCs/>
          <w:color w:val="auto"/>
          <w:szCs w:val="21"/>
          <w:highlight w:val="none"/>
        </w:rPr>
        <w:t>（以下无正文）</w:t>
      </w:r>
    </w:p>
    <w:p w14:paraId="691490A8">
      <w:pPr>
        <w:widowControl/>
        <w:autoSpaceDE w:val="0"/>
        <w:autoSpaceDN w:val="0"/>
        <w:adjustRightInd w:val="0"/>
        <w:snapToGrid w:val="0"/>
        <w:spacing w:line="600" w:lineRule="exact"/>
        <w:ind w:firstLine="420" w:firstLineChars="200"/>
        <w:textAlignment w:val="baseline"/>
        <w:rPr>
          <w:rFonts w:hint="eastAsia" w:ascii="仿宋_GB2312" w:hAnsi="仿宋_GB2312" w:eastAsia="仿宋_GB2312" w:cs="仿宋_GB2312"/>
          <w:bCs/>
          <w:color w:val="auto"/>
          <w:szCs w:val="21"/>
          <w:highlight w:val="none"/>
        </w:rPr>
      </w:pPr>
    </w:p>
    <w:p w14:paraId="2568E1B1">
      <w:pP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br w:type="page"/>
      </w:r>
    </w:p>
    <w:p w14:paraId="5D613B4C">
      <w:pPr>
        <w:ind w:firstLine="210"/>
        <w:textAlignment w:val="baseline"/>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（本页无正文，为合同签署页）</w:t>
      </w:r>
    </w:p>
    <w:tbl>
      <w:tblPr>
        <w:tblStyle w:val="4"/>
        <w:tblW w:w="532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47"/>
        <w:gridCol w:w="4548"/>
      </w:tblGrid>
      <w:tr w14:paraId="538CB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500" w:type="pct"/>
            <w:noWrap/>
            <w:vAlign w:val="center"/>
          </w:tcPr>
          <w:p w14:paraId="242782F1">
            <w:pPr>
              <w:autoSpaceDE w:val="0"/>
              <w:autoSpaceDN w:val="0"/>
              <w:adjustRightInd w:val="0"/>
              <w:jc w:val="center"/>
              <w:textAlignment w:val="baseline"/>
              <w:rPr>
                <w:rFonts w:hint="eastAsia" w:ascii="仿宋_GB2312" w:hAnsi="仿宋_GB2312" w:eastAsia="仿宋_GB2312" w:cs="仿宋_GB2312"/>
                <w:color w:val="auto"/>
                <w:spacing w:val="0"/>
                <w:kern w:val="0"/>
                <w:szCs w:val="21"/>
                <w:highlight w:val="none"/>
              </w:rPr>
            </w:pPr>
            <w:r>
              <w:rPr>
                <w:rFonts w:hint="eastAsia" w:ascii="仿宋_GB2312" w:hAnsi="仿宋_GB2312" w:eastAsia="仿宋_GB2312" w:cs="仿宋_GB2312"/>
                <w:b/>
                <w:bCs/>
                <w:color w:val="auto"/>
                <w:spacing w:val="0"/>
                <w:kern w:val="0"/>
                <w:szCs w:val="21"/>
                <w:highlight w:val="none"/>
              </w:rPr>
              <w:t>甲方</w:t>
            </w:r>
          </w:p>
        </w:tc>
        <w:tc>
          <w:tcPr>
            <w:tcW w:w="2500" w:type="pct"/>
            <w:noWrap/>
            <w:vAlign w:val="center"/>
          </w:tcPr>
          <w:p w14:paraId="39E3918E">
            <w:pPr>
              <w:autoSpaceDE w:val="0"/>
              <w:autoSpaceDN w:val="0"/>
              <w:adjustRightInd w:val="0"/>
              <w:jc w:val="center"/>
              <w:textAlignment w:val="baseline"/>
              <w:rPr>
                <w:rFonts w:hint="eastAsia" w:ascii="仿宋_GB2312" w:hAnsi="仿宋_GB2312" w:eastAsia="仿宋_GB2312" w:cs="仿宋_GB2312"/>
                <w:color w:val="auto"/>
                <w:spacing w:val="0"/>
                <w:szCs w:val="21"/>
                <w:highlight w:val="none"/>
              </w:rPr>
            </w:pPr>
            <w:r>
              <w:rPr>
                <w:rFonts w:hint="eastAsia" w:ascii="仿宋_GB2312" w:hAnsi="仿宋_GB2312" w:eastAsia="仿宋_GB2312" w:cs="仿宋_GB2312"/>
                <w:b/>
                <w:bCs/>
                <w:color w:val="auto"/>
                <w:spacing w:val="0"/>
                <w:szCs w:val="21"/>
                <w:highlight w:val="none"/>
              </w:rPr>
              <w:t>乙方</w:t>
            </w:r>
          </w:p>
        </w:tc>
      </w:tr>
      <w:tr w14:paraId="62F33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4" w:hRule="atLeast"/>
          <w:jc w:val="center"/>
        </w:trPr>
        <w:tc>
          <w:tcPr>
            <w:tcW w:w="2500" w:type="pct"/>
            <w:noWrap/>
            <w:vAlign w:val="center"/>
          </w:tcPr>
          <w:p w14:paraId="5D13F5E3">
            <w:pPr>
              <w:autoSpaceDE w:val="0"/>
              <w:autoSpaceDN w:val="0"/>
              <w:adjustRightInd w:val="0"/>
              <w:jc w:val="center"/>
              <w:textAlignment w:val="baseline"/>
              <w:rPr>
                <w:rFonts w:hint="eastAsia" w:ascii="仿宋_GB2312" w:hAnsi="仿宋_GB2312" w:eastAsia="仿宋_GB2312" w:cs="仿宋_GB2312"/>
                <w:color w:val="auto"/>
                <w:spacing w:val="0"/>
                <w:kern w:val="0"/>
                <w:szCs w:val="21"/>
                <w:highlight w:val="none"/>
              </w:rPr>
            </w:pPr>
          </w:p>
          <w:p w14:paraId="54EC7C17">
            <w:pPr>
              <w:autoSpaceDE w:val="0"/>
              <w:autoSpaceDN w:val="0"/>
              <w:adjustRightInd w:val="0"/>
              <w:jc w:val="center"/>
              <w:textAlignment w:val="baseline"/>
              <w:rPr>
                <w:rFonts w:hint="eastAsia" w:ascii="仿宋_GB2312" w:hAnsi="仿宋_GB2312" w:eastAsia="仿宋_GB2312" w:cs="仿宋_GB2312"/>
                <w:color w:val="auto"/>
                <w:spacing w:val="0"/>
                <w:kern w:val="0"/>
                <w:szCs w:val="21"/>
                <w:highlight w:val="none"/>
              </w:rPr>
            </w:pPr>
          </w:p>
          <w:p w14:paraId="7D1EB25D">
            <w:pPr>
              <w:autoSpaceDE w:val="0"/>
              <w:autoSpaceDN w:val="0"/>
              <w:adjustRightInd w:val="0"/>
              <w:jc w:val="center"/>
              <w:textAlignment w:val="baseline"/>
              <w:rPr>
                <w:rFonts w:hint="eastAsia" w:ascii="仿宋_GB2312" w:hAnsi="仿宋_GB2312" w:eastAsia="仿宋_GB2312" w:cs="仿宋_GB2312"/>
                <w:color w:val="auto"/>
                <w:spacing w:val="0"/>
                <w:kern w:val="0"/>
                <w:szCs w:val="21"/>
                <w:highlight w:val="none"/>
              </w:rPr>
            </w:pPr>
          </w:p>
          <w:p w14:paraId="27DEF2C4">
            <w:pPr>
              <w:autoSpaceDE w:val="0"/>
              <w:autoSpaceDN w:val="0"/>
              <w:adjustRightInd w:val="0"/>
              <w:jc w:val="center"/>
              <w:textAlignment w:val="baseline"/>
              <w:rPr>
                <w:rFonts w:hint="eastAsia" w:ascii="仿宋_GB2312" w:hAnsi="仿宋_GB2312" w:eastAsia="仿宋_GB2312" w:cs="仿宋_GB2312"/>
                <w:color w:val="auto"/>
                <w:spacing w:val="0"/>
                <w:kern w:val="0"/>
                <w:szCs w:val="21"/>
                <w:highlight w:val="none"/>
              </w:rPr>
            </w:pPr>
            <w:r>
              <w:rPr>
                <w:rFonts w:hint="eastAsia" w:ascii="仿宋_GB2312" w:hAnsi="仿宋_GB2312" w:eastAsia="仿宋_GB2312" w:cs="仿宋_GB2312"/>
                <w:b/>
                <w:bCs/>
                <w:color w:val="auto"/>
                <w:spacing w:val="0"/>
                <w:kern w:val="0"/>
                <w:szCs w:val="21"/>
                <w:highlight w:val="none"/>
              </w:rPr>
              <w:t>（盖章）</w:t>
            </w:r>
          </w:p>
        </w:tc>
        <w:tc>
          <w:tcPr>
            <w:tcW w:w="2500" w:type="pct"/>
            <w:noWrap/>
            <w:vAlign w:val="center"/>
          </w:tcPr>
          <w:p w14:paraId="371A4B29">
            <w:pPr>
              <w:autoSpaceDE w:val="0"/>
              <w:autoSpaceDN w:val="0"/>
              <w:adjustRightInd w:val="0"/>
              <w:jc w:val="center"/>
              <w:textAlignment w:val="baseline"/>
              <w:rPr>
                <w:rFonts w:hint="eastAsia" w:ascii="仿宋_GB2312" w:hAnsi="仿宋_GB2312" w:eastAsia="仿宋_GB2312" w:cs="仿宋_GB2312"/>
                <w:b/>
                <w:bCs/>
                <w:color w:val="auto"/>
                <w:spacing w:val="0"/>
                <w:kern w:val="0"/>
                <w:szCs w:val="21"/>
                <w:highlight w:val="none"/>
              </w:rPr>
            </w:pPr>
          </w:p>
          <w:p w14:paraId="11E0009E">
            <w:pPr>
              <w:autoSpaceDE w:val="0"/>
              <w:autoSpaceDN w:val="0"/>
              <w:adjustRightInd w:val="0"/>
              <w:jc w:val="center"/>
              <w:textAlignment w:val="baseline"/>
              <w:rPr>
                <w:rFonts w:hint="eastAsia" w:ascii="仿宋_GB2312" w:hAnsi="仿宋_GB2312" w:eastAsia="仿宋_GB2312" w:cs="仿宋_GB2312"/>
                <w:b/>
                <w:bCs/>
                <w:color w:val="auto"/>
                <w:spacing w:val="0"/>
                <w:kern w:val="0"/>
                <w:szCs w:val="21"/>
                <w:highlight w:val="none"/>
              </w:rPr>
            </w:pPr>
          </w:p>
          <w:p w14:paraId="090AA077">
            <w:pPr>
              <w:autoSpaceDE w:val="0"/>
              <w:autoSpaceDN w:val="0"/>
              <w:adjustRightInd w:val="0"/>
              <w:jc w:val="center"/>
              <w:textAlignment w:val="baseline"/>
              <w:rPr>
                <w:rFonts w:hint="eastAsia" w:ascii="仿宋_GB2312" w:hAnsi="仿宋_GB2312" w:eastAsia="仿宋_GB2312" w:cs="仿宋_GB2312"/>
                <w:b/>
                <w:bCs/>
                <w:color w:val="auto"/>
                <w:spacing w:val="0"/>
                <w:kern w:val="0"/>
                <w:szCs w:val="21"/>
                <w:highlight w:val="none"/>
              </w:rPr>
            </w:pPr>
          </w:p>
          <w:p w14:paraId="0361004E">
            <w:pPr>
              <w:autoSpaceDE w:val="0"/>
              <w:autoSpaceDN w:val="0"/>
              <w:adjustRightInd w:val="0"/>
              <w:jc w:val="center"/>
              <w:textAlignment w:val="baseline"/>
              <w:rPr>
                <w:rFonts w:hint="eastAsia" w:ascii="仿宋_GB2312" w:hAnsi="仿宋_GB2312" w:eastAsia="仿宋_GB2312" w:cs="仿宋_GB2312"/>
                <w:color w:val="auto"/>
                <w:spacing w:val="0"/>
                <w:szCs w:val="21"/>
                <w:highlight w:val="none"/>
              </w:rPr>
            </w:pPr>
            <w:r>
              <w:rPr>
                <w:rFonts w:hint="eastAsia" w:ascii="仿宋_GB2312" w:hAnsi="仿宋_GB2312" w:eastAsia="仿宋_GB2312" w:cs="仿宋_GB2312"/>
                <w:b/>
                <w:bCs/>
                <w:color w:val="auto"/>
                <w:spacing w:val="0"/>
                <w:kern w:val="0"/>
                <w:szCs w:val="21"/>
                <w:highlight w:val="none"/>
              </w:rPr>
              <w:t>（盖章）</w:t>
            </w:r>
          </w:p>
        </w:tc>
      </w:tr>
      <w:tr w14:paraId="6324A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7" w:hRule="atLeast"/>
          <w:jc w:val="center"/>
        </w:trPr>
        <w:tc>
          <w:tcPr>
            <w:tcW w:w="2500" w:type="pct"/>
            <w:noWrap/>
            <w:vAlign w:val="center"/>
          </w:tcPr>
          <w:p w14:paraId="50C09A2B">
            <w:pPr>
              <w:autoSpaceDE w:val="0"/>
              <w:autoSpaceDN w:val="0"/>
              <w:adjustRightInd w:val="0"/>
              <w:textAlignment w:val="baseline"/>
              <w:rPr>
                <w:rFonts w:hint="eastAsia" w:ascii="仿宋_GB2312" w:hAnsi="仿宋_GB2312" w:eastAsia="仿宋_GB2312" w:cs="仿宋_GB2312"/>
                <w:color w:val="auto"/>
                <w:spacing w:val="0"/>
                <w:kern w:val="0"/>
                <w:szCs w:val="21"/>
                <w:highlight w:val="none"/>
              </w:rPr>
            </w:pPr>
            <w:r>
              <w:rPr>
                <w:rFonts w:hint="eastAsia" w:ascii="仿宋_GB2312" w:hAnsi="仿宋_GB2312" w:eastAsia="仿宋_GB2312" w:cs="仿宋_GB2312"/>
                <w:color w:val="auto"/>
                <w:spacing w:val="0"/>
                <w:kern w:val="0"/>
                <w:szCs w:val="21"/>
                <w:highlight w:val="none"/>
              </w:rPr>
              <w:t>授权代表人</w:t>
            </w:r>
            <w:r>
              <w:rPr>
                <w:rFonts w:hint="eastAsia" w:ascii="仿宋_GB2312" w:hAnsi="仿宋_GB2312" w:eastAsia="仿宋_GB2312" w:cs="仿宋_GB2312"/>
                <w:color w:val="auto"/>
                <w:spacing w:val="0"/>
                <w:szCs w:val="21"/>
                <w:highlight w:val="none"/>
              </w:rPr>
              <w:t>（签字）</w:t>
            </w:r>
            <w:r>
              <w:rPr>
                <w:rFonts w:hint="eastAsia" w:ascii="仿宋_GB2312" w:hAnsi="仿宋_GB2312" w:eastAsia="仿宋_GB2312" w:cs="仿宋_GB2312"/>
                <w:color w:val="auto"/>
                <w:spacing w:val="0"/>
                <w:kern w:val="0"/>
                <w:szCs w:val="21"/>
                <w:highlight w:val="none"/>
              </w:rPr>
              <w:t>：</w:t>
            </w:r>
          </w:p>
          <w:p w14:paraId="5BE28C61">
            <w:pPr>
              <w:autoSpaceDE w:val="0"/>
              <w:autoSpaceDN w:val="0"/>
              <w:adjustRightInd w:val="0"/>
              <w:textAlignment w:val="baseline"/>
              <w:rPr>
                <w:rFonts w:hint="eastAsia" w:ascii="仿宋_GB2312" w:hAnsi="仿宋_GB2312" w:eastAsia="仿宋_GB2312" w:cs="仿宋_GB2312"/>
                <w:color w:val="auto"/>
                <w:spacing w:val="0"/>
                <w:kern w:val="0"/>
                <w:szCs w:val="21"/>
                <w:highlight w:val="none"/>
              </w:rPr>
            </w:pPr>
          </w:p>
          <w:p w14:paraId="79C7F177">
            <w:pPr>
              <w:autoSpaceDE w:val="0"/>
              <w:autoSpaceDN w:val="0"/>
              <w:adjustRightInd w:val="0"/>
              <w:textAlignment w:val="baseline"/>
              <w:rPr>
                <w:rFonts w:hint="eastAsia" w:ascii="仿宋_GB2312" w:hAnsi="仿宋_GB2312" w:eastAsia="仿宋_GB2312" w:cs="仿宋_GB2312"/>
                <w:color w:val="auto"/>
                <w:spacing w:val="0"/>
                <w:kern w:val="0"/>
                <w:szCs w:val="21"/>
                <w:highlight w:val="none"/>
              </w:rPr>
            </w:pPr>
          </w:p>
        </w:tc>
        <w:tc>
          <w:tcPr>
            <w:tcW w:w="2500" w:type="pct"/>
            <w:noWrap/>
            <w:vAlign w:val="center"/>
          </w:tcPr>
          <w:p w14:paraId="2F7BAA45">
            <w:pPr>
              <w:keepNext/>
              <w:keepLines/>
              <w:numPr>
                <w:ilvl w:val="3"/>
                <w:numId w:val="0"/>
              </w:numPr>
              <w:tabs>
                <w:tab w:val="left" w:pos="432"/>
              </w:tabs>
              <w:adjustRightInd w:val="0"/>
              <w:spacing w:beforeAutospacing="1" w:afterAutospacing="1"/>
              <w:textAlignment w:val="baseline"/>
              <w:outlineLvl w:val="3"/>
              <w:rPr>
                <w:rFonts w:hint="eastAsia" w:ascii="仿宋_GB2312" w:hAnsi="仿宋_GB2312" w:eastAsia="仿宋_GB2312" w:cs="仿宋_GB2312"/>
                <w:color w:val="auto"/>
                <w:spacing w:val="0"/>
                <w:kern w:val="0"/>
                <w:szCs w:val="21"/>
                <w:highlight w:val="none"/>
              </w:rPr>
            </w:pPr>
            <w:r>
              <w:rPr>
                <w:rFonts w:hint="eastAsia" w:ascii="仿宋_GB2312" w:hAnsi="仿宋_GB2312" w:eastAsia="仿宋_GB2312" w:cs="仿宋_GB2312"/>
                <w:color w:val="auto"/>
                <w:spacing w:val="0"/>
                <w:kern w:val="0"/>
                <w:szCs w:val="21"/>
                <w:highlight w:val="none"/>
              </w:rPr>
              <w:t>法定代表人（签字）：</w:t>
            </w:r>
          </w:p>
          <w:p w14:paraId="17BB072E">
            <w:pPr>
              <w:keepNext/>
              <w:keepLines/>
              <w:numPr>
                <w:ilvl w:val="3"/>
                <w:numId w:val="0"/>
              </w:numPr>
              <w:tabs>
                <w:tab w:val="left" w:pos="432"/>
              </w:tabs>
              <w:adjustRightInd w:val="0"/>
              <w:spacing w:beforeAutospacing="1" w:afterAutospacing="1"/>
              <w:textAlignment w:val="baseline"/>
              <w:outlineLvl w:val="3"/>
              <w:rPr>
                <w:rFonts w:hint="eastAsia" w:ascii="仿宋_GB2312" w:hAnsi="仿宋_GB2312" w:eastAsia="仿宋_GB2312" w:cs="仿宋_GB2312"/>
                <w:color w:val="auto"/>
                <w:spacing w:val="0"/>
                <w:kern w:val="0"/>
                <w:szCs w:val="21"/>
                <w:highlight w:val="none"/>
              </w:rPr>
            </w:pPr>
          </w:p>
        </w:tc>
      </w:tr>
      <w:tr w14:paraId="31E32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2500" w:type="pct"/>
            <w:noWrap/>
            <w:vAlign w:val="center"/>
          </w:tcPr>
          <w:p w14:paraId="4F2077BA">
            <w:pPr>
              <w:jc w:val="left"/>
              <w:textAlignment w:val="baseline"/>
              <w:rPr>
                <w:rFonts w:hint="eastAsia" w:ascii="仿宋_GB2312" w:hAnsi="仿宋_GB2312" w:eastAsia="仿宋_GB2312" w:cs="仿宋_GB2312"/>
                <w:color w:val="auto"/>
                <w:spacing w:val="0"/>
                <w:szCs w:val="21"/>
                <w:highlight w:val="none"/>
              </w:rPr>
            </w:pPr>
            <w:r>
              <w:rPr>
                <w:rFonts w:hint="eastAsia" w:ascii="仿宋_GB2312" w:hAnsi="仿宋_GB2312" w:eastAsia="仿宋_GB2312" w:cs="仿宋_GB2312"/>
                <w:color w:val="auto"/>
                <w:spacing w:val="0"/>
                <w:szCs w:val="21"/>
                <w:highlight w:val="none"/>
              </w:rPr>
              <w:t>处室（单位）负责人（签字）：</w:t>
            </w:r>
          </w:p>
          <w:p w14:paraId="0FB5559F">
            <w:pPr>
              <w:jc w:val="left"/>
              <w:textAlignment w:val="baseline"/>
              <w:rPr>
                <w:rFonts w:hint="eastAsia" w:ascii="仿宋_GB2312" w:hAnsi="仿宋_GB2312" w:eastAsia="仿宋_GB2312" w:cs="仿宋_GB2312"/>
                <w:color w:val="auto"/>
                <w:spacing w:val="0"/>
                <w:szCs w:val="21"/>
                <w:highlight w:val="none"/>
              </w:rPr>
            </w:pPr>
            <w:r>
              <w:rPr>
                <w:rFonts w:hint="eastAsia" w:ascii="仿宋_GB2312" w:hAnsi="仿宋_GB2312" w:eastAsia="仿宋_GB2312" w:cs="仿宋_GB2312"/>
                <w:color w:val="auto"/>
                <w:spacing w:val="0"/>
                <w:szCs w:val="21"/>
                <w:highlight w:val="none"/>
              </w:rPr>
              <w:t>经办人（签字）：</w:t>
            </w:r>
          </w:p>
          <w:p w14:paraId="734CA328">
            <w:pPr>
              <w:jc w:val="left"/>
              <w:textAlignment w:val="baseline"/>
              <w:rPr>
                <w:rFonts w:hint="eastAsia" w:ascii="仿宋_GB2312" w:hAnsi="仿宋_GB2312" w:eastAsia="仿宋_GB2312" w:cs="仿宋_GB2312"/>
                <w:color w:val="auto"/>
                <w:spacing w:val="0"/>
                <w:kern w:val="0"/>
                <w:szCs w:val="21"/>
                <w:highlight w:val="none"/>
              </w:rPr>
            </w:pPr>
            <w:r>
              <w:rPr>
                <w:rFonts w:hint="eastAsia" w:ascii="仿宋_GB2312" w:hAnsi="仿宋_GB2312" w:eastAsia="仿宋_GB2312" w:cs="仿宋_GB2312"/>
                <w:color w:val="auto"/>
                <w:spacing w:val="0"/>
                <w:szCs w:val="21"/>
                <w:highlight w:val="none"/>
              </w:rPr>
              <w:t>经办人联系电话：</w:t>
            </w:r>
          </w:p>
        </w:tc>
        <w:tc>
          <w:tcPr>
            <w:tcW w:w="2500" w:type="pct"/>
            <w:noWrap/>
            <w:vAlign w:val="center"/>
          </w:tcPr>
          <w:p w14:paraId="146FC85D">
            <w:pPr>
              <w:jc w:val="left"/>
              <w:textAlignment w:val="baseline"/>
              <w:rPr>
                <w:rFonts w:hint="eastAsia" w:ascii="仿宋_GB2312" w:hAnsi="仿宋_GB2312" w:eastAsia="仿宋_GB2312" w:cs="仿宋_GB2312"/>
                <w:color w:val="auto"/>
                <w:spacing w:val="0"/>
                <w:szCs w:val="21"/>
                <w:highlight w:val="none"/>
              </w:rPr>
            </w:pPr>
            <w:r>
              <w:rPr>
                <w:rFonts w:hint="eastAsia" w:ascii="仿宋_GB2312" w:hAnsi="仿宋_GB2312" w:eastAsia="仿宋_GB2312" w:cs="仿宋_GB2312"/>
                <w:color w:val="auto"/>
                <w:spacing w:val="0"/>
                <w:szCs w:val="21"/>
                <w:highlight w:val="none"/>
              </w:rPr>
              <w:t>经办人（签字）：</w:t>
            </w:r>
          </w:p>
          <w:p w14:paraId="054ED9D3">
            <w:pPr>
              <w:keepNext/>
              <w:keepLines/>
              <w:numPr>
                <w:ilvl w:val="3"/>
                <w:numId w:val="0"/>
              </w:numPr>
              <w:tabs>
                <w:tab w:val="left" w:pos="432"/>
              </w:tabs>
              <w:adjustRightInd w:val="0"/>
              <w:spacing w:beforeAutospacing="1" w:afterAutospacing="1"/>
              <w:textAlignment w:val="baseline"/>
              <w:outlineLvl w:val="3"/>
              <w:rPr>
                <w:rFonts w:hint="eastAsia" w:ascii="仿宋_GB2312" w:hAnsi="仿宋_GB2312" w:eastAsia="仿宋_GB2312" w:cs="仿宋_GB2312"/>
                <w:color w:val="auto"/>
                <w:spacing w:val="0"/>
                <w:kern w:val="0"/>
                <w:szCs w:val="21"/>
                <w:highlight w:val="none"/>
              </w:rPr>
            </w:pPr>
            <w:r>
              <w:rPr>
                <w:rFonts w:hint="eastAsia" w:ascii="仿宋_GB2312" w:hAnsi="仿宋_GB2312" w:eastAsia="仿宋_GB2312" w:cs="仿宋_GB2312"/>
                <w:color w:val="auto"/>
                <w:spacing w:val="0"/>
                <w:kern w:val="0"/>
                <w:szCs w:val="21"/>
                <w:highlight w:val="none"/>
              </w:rPr>
              <w:t>联系电话：</w:t>
            </w:r>
          </w:p>
        </w:tc>
      </w:tr>
      <w:tr w14:paraId="2B60B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500" w:type="pct"/>
            <w:noWrap/>
            <w:vAlign w:val="center"/>
          </w:tcPr>
          <w:p w14:paraId="63EF3318">
            <w:pPr>
              <w:autoSpaceDE w:val="0"/>
              <w:autoSpaceDN w:val="0"/>
              <w:adjustRightInd w:val="0"/>
              <w:textAlignment w:val="baseline"/>
              <w:rPr>
                <w:rFonts w:hint="eastAsia" w:ascii="仿宋_GB2312" w:hAnsi="仿宋_GB2312" w:eastAsia="仿宋_GB2312" w:cs="仿宋_GB2312"/>
                <w:color w:val="auto"/>
                <w:spacing w:val="0"/>
                <w:kern w:val="0"/>
                <w:szCs w:val="21"/>
                <w:highlight w:val="none"/>
              </w:rPr>
            </w:pPr>
            <w:r>
              <w:rPr>
                <w:rFonts w:hint="eastAsia" w:ascii="仿宋_GB2312" w:hAnsi="仿宋_GB2312" w:eastAsia="仿宋_GB2312" w:cs="仿宋_GB2312"/>
                <w:color w:val="auto"/>
                <w:spacing w:val="0"/>
                <w:kern w:val="0"/>
                <w:szCs w:val="21"/>
                <w:highlight w:val="none"/>
              </w:rPr>
              <w:t>地址：</w:t>
            </w:r>
          </w:p>
        </w:tc>
        <w:tc>
          <w:tcPr>
            <w:tcW w:w="2500" w:type="pct"/>
            <w:noWrap/>
            <w:vAlign w:val="center"/>
          </w:tcPr>
          <w:p w14:paraId="57669696">
            <w:pPr>
              <w:autoSpaceDE w:val="0"/>
              <w:autoSpaceDN w:val="0"/>
              <w:adjustRightInd w:val="0"/>
              <w:textAlignment w:val="baseline"/>
              <w:rPr>
                <w:rFonts w:hint="eastAsia" w:ascii="仿宋_GB2312" w:hAnsi="仿宋_GB2312" w:eastAsia="仿宋_GB2312" w:cs="仿宋_GB2312"/>
                <w:color w:val="auto"/>
                <w:spacing w:val="0"/>
                <w:kern w:val="0"/>
                <w:szCs w:val="21"/>
                <w:highlight w:val="none"/>
              </w:rPr>
            </w:pPr>
            <w:r>
              <w:rPr>
                <w:rFonts w:hint="eastAsia" w:ascii="仿宋_GB2312" w:hAnsi="仿宋_GB2312" w:eastAsia="仿宋_GB2312" w:cs="仿宋_GB2312"/>
                <w:color w:val="auto"/>
                <w:spacing w:val="0"/>
                <w:kern w:val="0"/>
                <w:szCs w:val="21"/>
                <w:highlight w:val="none"/>
              </w:rPr>
              <w:t>地址：</w:t>
            </w:r>
          </w:p>
        </w:tc>
      </w:tr>
      <w:tr w14:paraId="3B659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2500" w:type="pct"/>
            <w:noWrap/>
            <w:vAlign w:val="center"/>
          </w:tcPr>
          <w:p w14:paraId="5B16F54D">
            <w:pPr>
              <w:autoSpaceDE w:val="0"/>
              <w:autoSpaceDN w:val="0"/>
              <w:adjustRightInd w:val="0"/>
              <w:textAlignment w:val="baseline"/>
              <w:rPr>
                <w:rFonts w:hint="eastAsia" w:ascii="仿宋_GB2312" w:hAnsi="仿宋_GB2312" w:eastAsia="仿宋_GB2312" w:cs="仿宋_GB2312"/>
                <w:color w:val="auto"/>
                <w:spacing w:val="0"/>
                <w:kern w:val="0"/>
                <w:szCs w:val="21"/>
                <w:highlight w:val="none"/>
              </w:rPr>
            </w:pPr>
            <w:r>
              <w:rPr>
                <w:rFonts w:hint="eastAsia" w:ascii="仿宋_GB2312" w:hAnsi="仿宋_GB2312" w:eastAsia="仿宋_GB2312" w:cs="仿宋_GB2312"/>
                <w:color w:val="auto"/>
                <w:spacing w:val="0"/>
                <w:kern w:val="0"/>
                <w:szCs w:val="21"/>
                <w:highlight w:val="none"/>
              </w:rPr>
              <w:t>邮编：</w:t>
            </w:r>
          </w:p>
        </w:tc>
        <w:tc>
          <w:tcPr>
            <w:tcW w:w="2500" w:type="pct"/>
            <w:noWrap/>
            <w:vAlign w:val="center"/>
          </w:tcPr>
          <w:p w14:paraId="7F32A7D1">
            <w:pPr>
              <w:autoSpaceDE w:val="0"/>
              <w:autoSpaceDN w:val="0"/>
              <w:adjustRightInd w:val="0"/>
              <w:textAlignment w:val="baseline"/>
              <w:rPr>
                <w:rFonts w:hint="eastAsia" w:ascii="仿宋_GB2312" w:hAnsi="仿宋_GB2312" w:eastAsia="仿宋_GB2312" w:cs="仿宋_GB2312"/>
                <w:color w:val="auto"/>
                <w:spacing w:val="0"/>
                <w:kern w:val="0"/>
                <w:szCs w:val="21"/>
                <w:highlight w:val="none"/>
              </w:rPr>
            </w:pPr>
            <w:r>
              <w:rPr>
                <w:rFonts w:hint="eastAsia" w:ascii="仿宋_GB2312" w:hAnsi="仿宋_GB2312" w:eastAsia="仿宋_GB2312" w:cs="仿宋_GB2312"/>
                <w:color w:val="auto"/>
                <w:spacing w:val="0"/>
                <w:kern w:val="0"/>
                <w:szCs w:val="21"/>
                <w:highlight w:val="none"/>
              </w:rPr>
              <w:t>邮编：</w:t>
            </w:r>
          </w:p>
        </w:tc>
      </w:tr>
      <w:tr w14:paraId="2EC4A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3" w:hRule="atLeast"/>
          <w:jc w:val="center"/>
        </w:trPr>
        <w:tc>
          <w:tcPr>
            <w:tcW w:w="2500" w:type="pct"/>
            <w:noWrap/>
            <w:vAlign w:val="top"/>
          </w:tcPr>
          <w:p w14:paraId="50F52FE6">
            <w:pPr>
              <w:autoSpaceDE w:val="0"/>
              <w:autoSpaceDN w:val="0"/>
              <w:adjustRightInd w:val="0"/>
              <w:spacing w:before="326" w:beforeLines="100"/>
              <w:textAlignment w:val="baseline"/>
              <w:rPr>
                <w:rFonts w:hint="eastAsia" w:ascii="仿宋_GB2312" w:hAnsi="仿宋_GB2312" w:eastAsia="仿宋_GB2312" w:cs="仿宋_GB2312"/>
                <w:color w:val="auto"/>
                <w:spacing w:val="0"/>
                <w:szCs w:val="21"/>
                <w:highlight w:val="none"/>
              </w:rPr>
            </w:pPr>
            <w:r>
              <w:rPr>
                <w:rFonts w:hint="eastAsia" w:ascii="仿宋_GB2312" w:hAnsi="仿宋_GB2312" w:eastAsia="仿宋_GB2312" w:cs="仿宋_GB2312"/>
                <w:color w:val="auto"/>
                <w:spacing w:val="0"/>
                <w:szCs w:val="21"/>
                <w:highlight w:val="none"/>
              </w:rPr>
              <w:t>开票信息：</w:t>
            </w:r>
          </w:p>
          <w:p w14:paraId="761E5698">
            <w:pPr>
              <w:keepNext/>
              <w:keepLines/>
              <w:numPr>
                <w:ilvl w:val="3"/>
                <w:numId w:val="0"/>
              </w:numPr>
              <w:tabs>
                <w:tab w:val="left" w:pos="432"/>
              </w:tabs>
              <w:adjustRightInd w:val="0"/>
              <w:spacing w:beforeAutospacing="1" w:afterAutospacing="1"/>
              <w:textAlignment w:val="baseline"/>
              <w:outlineLvl w:val="3"/>
              <w:rPr>
                <w:rFonts w:hint="eastAsia" w:ascii="仿宋_GB2312" w:hAnsi="仿宋_GB2312" w:eastAsia="仿宋_GB2312" w:cs="仿宋_GB2312"/>
                <w:color w:val="auto"/>
                <w:spacing w:val="0"/>
                <w:kern w:val="0"/>
                <w:szCs w:val="21"/>
                <w:highlight w:val="none"/>
              </w:rPr>
            </w:pPr>
            <w:r>
              <w:rPr>
                <w:rFonts w:hint="eastAsia" w:ascii="仿宋_GB2312" w:hAnsi="仿宋_GB2312" w:eastAsia="仿宋_GB2312" w:cs="仿宋_GB2312"/>
                <w:color w:val="auto"/>
                <w:spacing w:val="0"/>
                <w:kern w:val="0"/>
                <w:szCs w:val="21"/>
                <w:highlight w:val="none"/>
              </w:rPr>
              <w:t>统一社会信用代码：</w:t>
            </w:r>
          </w:p>
          <w:p w14:paraId="53DA7581">
            <w:pPr>
              <w:keepNext/>
              <w:keepLines/>
              <w:numPr>
                <w:ilvl w:val="3"/>
                <w:numId w:val="0"/>
              </w:numPr>
              <w:tabs>
                <w:tab w:val="left" w:pos="432"/>
              </w:tabs>
              <w:adjustRightInd w:val="0"/>
              <w:spacing w:beforeAutospacing="1" w:afterAutospacing="1"/>
              <w:textAlignment w:val="baseline"/>
              <w:outlineLvl w:val="3"/>
              <w:rPr>
                <w:rFonts w:hint="eastAsia" w:ascii="仿宋_GB2312" w:hAnsi="仿宋_GB2312" w:eastAsia="仿宋_GB2312" w:cs="仿宋_GB2312"/>
                <w:color w:val="auto"/>
                <w:spacing w:val="0"/>
                <w:kern w:val="0"/>
                <w:szCs w:val="21"/>
                <w:highlight w:val="none"/>
              </w:rPr>
            </w:pPr>
            <w:r>
              <w:rPr>
                <w:rFonts w:hint="eastAsia" w:ascii="仿宋_GB2312" w:hAnsi="仿宋_GB2312" w:eastAsia="仿宋_GB2312" w:cs="仿宋_GB2312"/>
                <w:color w:val="auto"/>
                <w:spacing w:val="0"/>
                <w:kern w:val="0"/>
                <w:szCs w:val="21"/>
                <w:highlight w:val="none"/>
              </w:rPr>
              <w:t>地址：</w:t>
            </w:r>
          </w:p>
          <w:p w14:paraId="04ACC4E5">
            <w:pPr>
              <w:keepNext/>
              <w:keepLines/>
              <w:numPr>
                <w:ilvl w:val="3"/>
                <w:numId w:val="0"/>
              </w:numPr>
              <w:tabs>
                <w:tab w:val="left" w:pos="432"/>
              </w:tabs>
              <w:adjustRightInd w:val="0"/>
              <w:spacing w:beforeAutospacing="1" w:afterAutospacing="1"/>
              <w:textAlignment w:val="baseline"/>
              <w:outlineLvl w:val="3"/>
              <w:rPr>
                <w:rFonts w:hint="eastAsia" w:ascii="仿宋_GB2312" w:hAnsi="仿宋_GB2312" w:eastAsia="仿宋_GB2312" w:cs="仿宋_GB2312"/>
                <w:color w:val="auto"/>
                <w:spacing w:val="0"/>
                <w:kern w:val="0"/>
                <w:szCs w:val="21"/>
                <w:highlight w:val="none"/>
              </w:rPr>
            </w:pPr>
            <w:r>
              <w:rPr>
                <w:rFonts w:hint="eastAsia" w:ascii="仿宋_GB2312" w:hAnsi="仿宋_GB2312" w:eastAsia="仿宋_GB2312" w:cs="仿宋_GB2312"/>
                <w:color w:val="auto"/>
                <w:spacing w:val="0"/>
                <w:kern w:val="0"/>
                <w:szCs w:val="21"/>
                <w:highlight w:val="none"/>
              </w:rPr>
              <w:t>开户行</w:t>
            </w:r>
            <w:r>
              <w:rPr>
                <w:rFonts w:hint="eastAsia" w:ascii="仿宋_GB2312" w:hAnsi="仿宋_GB2312" w:eastAsia="仿宋_GB2312" w:cs="仿宋_GB2312"/>
                <w:color w:val="auto"/>
                <w:spacing w:val="0"/>
                <w:kern w:val="0"/>
                <w:szCs w:val="21"/>
                <w:highlight w:val="none"/>
                <w:lang w:eastAsia="zh-CN"/>
              </w:rPr>
              <w:t>：</w:t>
            </w:r>
          </w:p>
          <w:p w14:paraId="6272FD18">
            <w:pPr>
              <w:keepNext/>
              <w:keepLines/>
              <w:numPr>
                <w:ilvl w:val="3"/>
                <w:numId w:val="0"/>
              </w:numPr>
              <w:tabs>
                <w:tab w:val="left" w:pos="432"/>
              </w:tabs>
              <w:adjustRightInd w:val="0"/>
              <w:spacing w:beforeAutospacing="1" w:afterAutospacing="1"/>
              <w:textAlignment w:val="baseline"/>
              <w:outlineLvl w:val="3"/>
              <w:rPr>
                <w:rFonts w:hint="eastAsia" w:ascii="仿宋_GB2312" w:hAnsi="仿宋_GB2312" w:eastAsia="仿宋_GB2312" w:cs="仿宋_GB2312"/>
                <w:color w:val="auto"/>
                <w:spacing w:val="0"/>
                <w:kern w:val="0"/>
                <w:szCs w:val="21"/>
                <w:highlight w:val="none"/>
              </w:rPr>
            </w:pPr>
            <w:r>
              <w:rPr>
                <w:rFonts w:hint="eastAsia" w:ascii="仿宋_GB2312" w:hAnsi="仿宋_GB2312" w:eastAsia="仿宋_GB2312" w:cs="仿宋_GB2312"/>
                <w:color w:val="auto"/>
                <w:spacing w:val="0"/>
                <w:kern w:val="0"/>
                <w:szCs w:val="21"/>
                <w:highlight w:val="none"/>
              </w:rPr>
              <w:t>账号</w:t>
            </w:r>
            <w:r>
              <w:rPr>
                <w:rFonts w:hint="eastAsia" w:ascii="仿宋_GB2312" w:hAnsi="仿宋_GB2312" w:eastAsia="仿宋_GB2312" w:cs="仿宋_GB2312"/>
                <w:color w:val="auto"/>
                <w:spacing w:val="0"/>
                <w:kern w:val="0"/>
                <w:szCs w:val="21"/>
                <w:highlight w:val="none"/>
                <w:lang w:eastAsia="zh-CN"/>
              </w:rPr>
              <w:t>：</w:t>
            </w:r>
          </w:p>
          <w:p w14:paraId="559C950D">
            <w:pPr>
              <w:keepNext/>
              <w:keepLines/>
              <w:numPr>
                <w:ilvl w:val="3"/>
                <w:numId w:val="0"/>
              </w:numPr>
              <w:tabs>
                <w:tab w:val="left" w:pos="432"/>
              </w:tabs>
              <w:adjustRightInd w:val="0"/>
              <w:spacing w:beforeAutospacing="1" w:afterAutospacing="1"/>
              <w:textAlignment w:val="baseline"/>
              <w:outlineLvl w:val="3"/>
              <w:rPr>
                <w:rFonts w:hint="eastAsia" w:ascii="仿宋_GB2312" w:hAnsi="仿宋_GB2312" w:eastAsia="仿宋_GB2312" w:cs="仿宋_GB2312"/>
                <w:color w:val="auto"/>
                <w:spacing w:val="0"/>
                <w:kern w:val="0"/>
                <w:szCs w:val="21"/>
                <w:highlight w:val="none"/>
              </w:rPr>
            </w:pPr>
            <w:r>
              <w:rPr>
                <w:rFonts w:hint="eastAsia" w:ascii="仿宋_GB2312" w:hAnsi="仿宋_GB2312" w:eastAsia="仿宋_GB2312" w:cs="仿宋_GB2312"/>
                <w:color w:val="auto"/>
                <w:spacing w:val="0"/>
                <w:kern w:val="0"/>
                <w:szCs w:val="21"/>
                <w:highlight w:val="none"/>
              </w:rPr>
              <w:t>发票类型：</w:t>
            </w:r>
          </w:p>
        </w:tc>
        <w:tc>
          <w:tcPr>
            <w:tcW w:w="2500" w:type="pct"/>
            <w:noWrap/>
            <w:vAlign w:val="top"/>
          </w:tcPr>
          <w:p w14:paraId="401114CB">
            <w:pPr>
              <w:widowControl/>
              <w:autoSpaceDE w:val="0"/>
              <w:autoSpaceDN w:val="0"/>
              <w:adjustRightInd w:val="0"/>
              <w:snapToGrid w:val="0"/>
              <w:spacing w:line="600" w:lineRule="exact"/>
              <w:textAlignment w:val="baseline"/>
              <w:rPr>
                <w:rFonts w:hint="eastAsia" w:ascii="仿宋_GB2312" w:hAnsi="仿宋_GB2312" w:eastAsia="仿宋_GB2312" w:cs="仿宋_GB2312"/>
                <w:color w:val="auto"/>
                <w:spacing w:val="0"/>
                <w:szCs w:val="21"/>
                <w:highlight w:val="none"/>
              </w:rPr>
            </w:pPr>
            <w:r>
              <w:rPr>
                <w:rFonts w:hint="eastAsia" w:ascii="仿宋_GB2312" w:hAnsi="仿宋_GB2312" w:eastAsia="仿宋_GB2312" w:cs="仿宋_GB2312"/>
                <w:color w:val="auto"/>
                <w:spacing w:val="0"/>
                <w:szCs w:val="21"/>
                <w:highlight w:val="none"/>
              </w:rPr>
              <w:t>收款信息：</w:t>
            </w:r>
          </w:p>
          <w:p w14:paraId="392F23CC">
            <w:pPr>
              <w:widowControl/>
              <w:autoSpaceDE w:val="0"/>
              <w:autoSpaceDN w:val="0"/>
              <w:adjustRightInd w:val="0"/>
              <w:snapToGrid w:val="0"/>
              <w:spacing w:line="600" w:lineRule="exact"/>
              <w:textAlignment w:val="baseline"/>
              <w:rPr>
                <w:rFonts w:hint="eastAsia" w:ascii="仿宋_GB2312" w:hAnsi="仿宋_GB2312" w:eastAsia="仿宋_GB2312" w:cs="仿宋_GB2312"/>
                <w:color w:val="auto"/>
                <w:spacing w:val="0"/>
                <w:szCs w:val="21"/>
                <w:highlight w:val="none"/>
              </w:rPr>
            </w:pPr>
            <w:r>
              <w:rPr>
                <w:rFonts w:hint="eastAsia" w:ascii="仿宋_GB2312" w:hAnsi="仿宋_GB2312" w:eastAsia="仿宋_GB2312" w:cs="仿宋_GB2312"/>
                <w:color w:val="auto"/>
                <w:spacing w:val="0"/>
                <w:szCs w:val="21"/>
                <w:highlight w:val="none"/>
              </w:rPr>
              <w:t>收款人名称：</w:t>
            </w:r>
          </w:p>
          <w:p w14:paraId="37EC9ED3">
            <w:pPr>
              <w:widowControl/>
              <w:autoSpaceDE w:val="0"/>
              <w:autoSpaceDN w:val="0"/>
              <w:adjustRightInd w:val="0"/>
              <w:snapToGrid w:val="0"/>
              <w:spacing w:line="600" w:lineRule="exact"/>
              <w:textAlignment w:val="baseline"/>
              <w:rPr>
                <w:rFonts w:hint="eastAsia" w:ascii="仿宋_GB2312" w:hAnsi="仿宋_GB2312" w:eastAsia="仿宋_GB2312" w:cs="仿宋_GB2312"/>
                <w:color w:val="auto"/>
                <w:spacing w:val="0"/>
                <w:szCs w:val="21"/>
                <w:highlight w:val="none"/>
              </w:rPr>
            </w:pPr>
            <w:r>
              <w:rPr>
                <w:rFonts w:hint="eastAsia" w:ascii="仿宋_GB2312" w:hAnsi="仿宋_GB2312" w:eastAsia="仿宋_GB2312" w:cs="仿宋_GB2312"/>
                <w:color w:val="auto"/>
                <w:spacing w:val="0"/>
                <w:szCs w:val="21"/>
                <w:highlight w:val="none"/>
              </w:rPr>
              <w:t>组织机构代码证编号：</w:t>
            </w:r>
          </w:p>
          <w:p w14:paraId="0D98CE69">
            <w:pPr>
              <w:widowControl/>
              <w:autoSpaceDE w:val="0"/>
              <w:autoSpaceDN w:val="0"/>
              <w:adjustRightInd w:val="0"/>
              <w:snapToGrid w:val="0"/>
              <w:spacing w:line="600" w:lineRule="exact"/>
              <w:textAlignment w:val="baseline"/>
              <w:rPr>
                <w:rFonts w:hint="eastAsia" w:ascii="仿宋_GB2312" w:hAnsi="仿宋_GB2312" w:eastAsia="仿宋_GB2312" w:cs="仿宋_GB2312"/>
                <w:color w:val="auto"/>
                <w:spacing w:val="0"/>
                <w:szCs w:val="21"/>
                <w:highlight w:val="none"/>
              </w:rPr>
            </w:pPr>
            <w:r>
              <w:rPr>
                <w:rFonts w:hint="eastAsia" w:ascii="仿宋_GB2312" w:hAnsi="仿宋_GB2312" w:eastAsia="仿宋_GB2312" w:cs="仿宋_GB2312"/>
                <w:color w:val="auto"/>
                <w:spacing w:val="0"/>
                <w:szCs w:val="21"/>
                <w:highlight w:val="none"/>
              </w:rPr>
              <w:t>收款银行：</w:t>
            </w:r>
          </w:p>
          <w:p w14:paraId="60F2A605">
            <w:pPr>
              <w:widowControl/>
              <w:autoSpaceDE w:val="0"/>
              <w:autoSpaceDN w:val="0"/>
              <w:adjustRightInd w:val="0"/>
              <w:snapToGrid w:val="0"/>
              <w:spacing w:line="600" w:lineRule="exact"/>
              <w:textAlignment w:val="baseline"/>
              <w:rPr>
                <w:rFonts w:hint="eastAsia" w:ascii="仿宋_GB2312" w:hAnsi="仿宋_GB2312" w:eastAsia="仿宋_GB2312" w:cs="仿宋_GB2312"/>
                <w:color w:val="auto"/>
                <w:spacing w:val="0"/>
                <w:szCs w:val="21"/>
                <w:highlight w:val="none"/>
              </w:rPr>
            </w:pPr>
            <w:r>
              <w:rPr>
                <w:rFonts w:hint="eastAsia" w:ascii="仿宋_GB2312" w:hAnsi="仿宋_GB2312" w:eastAsia="仿宋_GB2312" w:cs="仿宋_GB2312"/>
                <w:color w:val="auto"/>
                <w:spacing w:val="0"/>
                <w:szCs w:val="21"/>
                <w:highlight w:val="none"/>
              </w:rPr>
              <w:t>账  号：</w:t>
            </w:r>
          </w:p>
          <w:p w14:paraId="7D5D8180">
            <w:pPr>
              <w:widowControl/>
              <w:autoSpaceDE w:val="0"/>
              <w:autoSpaceDN w:val="0"/>
              <w:adjustRightInd w:val="0"/>
              <w:snapToGrid w:val="0"/>
              <w:spacing w:line="600" w:lineRule="exact"/>
              <w:textAlignment w:val="baseline"/>
              <w:rPr>
                <w:rFonts w:hint="eastAsia" w:ascii="仿宋_GB2312" w:hAnsi="仿宋_GB2312" w:eastAsia="仿宋_GB2312" w:cs="仿宋_GB2312"/>
                <w:color w:val="auto"/>
                <w:spacing w:val="0"/>
                <w:kern w:val="0"/>
                <w:szCs w:val="21"/>
                <w:highlight w:val="none"/>
              </w:rPr>
            </w:pPr>
            <w:r>
              <w:rPr>
                <w:rFonts w:hint="eastAsia" w:ascii="仿宋_GB2312" w:hAnsi="仿宋_GB2312" w:eastAsia="仿宋_GB2312" w:cs="仿宋_GB2312"/>
                <w:color w:val="auto"/>
                <w:spacing w:val="0"/>
                <w:szCs w:val="21"/>
                <w:highlight w:val="none"/>
              </w:rPr>
              <w:t>地址：</w:t>
            </w:r>
          </w:p>
        </w:tc>
      </w:tr>
      <w:tr w14:paraId="43C46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500" w:type="pct"/>
            <w:noWrap/>
            <w:vAlign w:val="center"/>
          </w:tcPr>
          <w:p w14:paraId="7CC9C867">
            <w:pPr>
              <w:autoSpaceDE w:val="0"/>
              <w:autoSpaceDN w:val="0"/>
              <w:adjustRightInd w:val="0"/>
              <w:textAlignment w:val="baseline"/>
              <w:rPr>
                <w:rFonts w:hint="eastAsia" w:ascii="仿宋_GB2312" w:hAnsi="仿宋_GB2312" w:eastAsia="仿宋_GB2312" w:cs="仿宋_GB2312"/>
                <w:color w:val="auto"/>
                <w:spacing w:val="0"/>
                <w:szCs w:val="21"/>
                <w:highlight w:val="none"/>
              </w:rPr>
            </w:pPr>
            <w:r>
              <w:rPr>
                <w:rFonts w:hint="eastAsia" w:ascii="仿宋_GB2312" w:hAnsi="仿宋_GB2312" w:eastAsia="仿宋_GB2312" w:cs="仿宋_GB2312"/>
                <w:color w:val="auto"/>
                <w:spacing w:val="0"/>
                <w:kern w:val="0"/>
                <w:szCs w:val="21"/>
                <w:highlight w:val="none"/>
              </w:rPr>
              <w:t>日期：    年    月    日</w:t>
            </w:r>
          </w:p>
        </w:tc>
        <w:tc>
          <w:tcPr>
            <w:tcW w:w="2500" w:type="pct"/>
            <w:noWrap/>
            <w:vAlign w:val="center"/>
          </w:tcPr>
          <w:p w14:paraId="742D95D2">
            <w:pPr>
              <w:autoSpaceDE w:val="0"/>
              <w:autoSpaceDN w:val="0"/>
              <w:adjustRightInd w:val="0"/>
              <w:textAlignment w:val="baseline"/>
              <w:rPr>
                <w:rFonts w:hint="eastAsia" w:ascii="仿宋_GB2312" w:hAnsi="仿宋_GB2312" w:eastAsia="仿宋_GB2312" w:cs="仿宋_GB2312"/>
                <w:color w:val="auto"/>
                <w:spacing w:val="0"/>
                <w:szCs w:val="21"/>
                <w:highlight w:val="none"/>
              </w:rPr>
            </w:pPr>
            <w:r>
              <w:rPr>
                <w:rFonts w:hint="eastAsia" w:ascii="仿宋_GB2312" w:hAnsi="仿宋_GB2312" w:eastAsia="仿宋_GB2312" w:cs="仿宋_GB2312"/>
                <w:color w:val="auto"/>
                <w:spacing w:val="0"/>
                <w:kern w:val="0"/>
                <w:szCs w:val="21"/>
                <w:highlight w:val="none"/>
              </w:rPr>
              <w:t>日期：    年   月     日</w:t>
            </w:r>
          </w:p>
        </w:tc>
      </w:tr>
    </w:tbl>
    <w:p w14:paraId="09FC7569"/>
    <w:sectPr>
      <w:headerReference r:id="rId5" w:type="default"/>
      <w:footerReference r:id="rId6" w:type="default"/>
      <w:pgSz w:w="11900" w:h="16840"/>
      <w:pgMar w:top="1" w:right="1785" w:bottom="276" w:left="1785" w:header="0" w:footer="0"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Lucida Sans Unicode">
    <w:panose1 w:val="020B0602030504020204"/>
    <w:charset w:val="00"/>
    <w:family w:val="auto"/>
    <w:pitch w:val="default"/>
    <w:sig w:usb0="80001AFF" w:usb1="0000396B" w:usb2="00000000" w:usb3="00000000" w:csb0="200000BF" w:csb1="D7F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695BE8">
    <w:pPr>
      <w:spacing w:line="173" w:lineRule="auto"/>
      <w:ind w:left="3695"/>
      <w:rPr>
        <w:rFonts w:ascii="Lucida Sans Unicode" w:hAnsi="Lucida Sans Unicode" w:eastAsia="Lucida Sans Unicode" w:cs="Lucida Sans Unicode"/>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A5FF273">
                          <w:pPr>
                            <w:pStyle w:val="3"/>
                          </w:pPr>
                          <w:r>
                            <w:fldChar w:fldCharType="begin"/>
                          </w:r>
                          <w:r>
                            <w:instrText xml:space="preserve"> PAGE  \* MERGEFORMAT </w:instrText>
                          </w:r>
                          <w:r>
                            <w:fldChar w:fldCharType="separate"/>
                          </w:r>
                          <w:r>
                            <w:t>49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cN+E4AgAAcQ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T5w34TgCAABxBAAADgAAAAAAAAABACAAAAAfAQAAZHJzL2Uyb0RvYy54&#10;bWxQSwUGAAAAAAYABgBZAQAAyQUAAAAA&#10;">
              <v:fill on="f" focussize="0,0"/>
              <v:stroke on="f" weight="0.5pt"/>
              <v:imagedata o:title=""/>
              <o:lock v:ext="edit" aspectratio="f"/>
              <v:textbox inset="0mm,0mm,0mm,0mm" style="mso-fit-shape-to-text:t;">
                <w:txbxContent>
                  <w:p w14:paraId="5A5FF273">
                    <w:pPr>
                      <w:pStyle w:val="3"/>
                    </w:pPr>
                    <w:r>
                      <w:fldChar w:fldCharType="begin"/>
                    </w:r>
                    <w:r>
                      <w:instrText xml:space="preserve"> PAGE  \* MERGEFORMAT </w:instrText>
                    </w:r>
                    <w:r>
                      <w:fldChar w:fldCharType="separate"/>
                    </w:r>
                    <w:r>
                      <w:t>49</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313369">
    <w:pPr>
      <w:pStyle w:val="2"/>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3499E9"/>
    <w:multiLevelType w:val="singleLevel"/>
    <w:tmpl w:val="AE3499E9"/>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0C4C28"/>
    <w:rsid w:val="11343A51"/>
    <w:rsid w:val="120C4C28"/>
    <w:rsid w:val="1BDF1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3">
    <w:name w:val="footer"/>
    <w:basedOn w:val="1"/>
    <w:qFormat/>
    <w:uiPriority w:val="0"/>
    <w:pPr>
      <w:tabs>
        <w:tab w:val="center" w:pos="4153"/>
        <w:tab w:val="right" w:pos="8306"/>
      </w:tabs>
      <w:snapToGrid w:val="0"/>
      <w:jc w:val="left"/>
    </w:pPr>
    <w:rPr>
      <w:sz w:val="18"/>
      <w:szCs w:val="18"/>
    </w:rPr>
  </w:style>
  <w:style w:type="paragraph" w:customStyle="1" w:styleId="6">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1588</Words>
  <Characters>1620</Characters>
  <Lines>0</Lines>
  <Paragraphs>0</Paragraphs>
  <TotalTime>0</TotalTime>
  <ScaleCrop>false</ScaleCrop>
  <LinksUpToDate>false</LinksUpToDate>
  <CharactersWithSpaces>1774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2025-12-22T01:23:00Z</dcterms:created>
  <dc:creator>Liu_Yang</dc:creator>
  <cp:lastModifiedBy>Liu_Yang</cp:lastModifiedBy>
  <dcterms:modified xsi:type="dcterms:W3CDTF">2025-12-29T06:06:05Z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C38C8583C7734FE8B813E52DB984B255_11</vt:lpwstr>
  </property>
  <property fmtid="{D5CDD505-2E9C-101B-9397-08002B2CF9AE}" pid="4" name="KSOTemplateDocerSaveRecord">
    <vt:lpwstr>eyJoZGlkIjoiYTkzY2U2NDVhYWNiZjg4OTg2ZDg3ZjNkOGVhOGYwMGYiLCJ1c2VySWQiOiIyODE4ODIyNzQifQ==</vt:lpwstr>
  </property>
</Properties>
</file>