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版本号：SXDY-2026-00920260121001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审判大楼竣工结算审核及决算审计采购项目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SXDY-2026-009</w:t>
      </w:r>
      <w:r>
        <w:br/>
      </w:r>
      <w:r>
        <w:br/>
      </w:r>
      <w:r>
        <w:br/>
      </w:r>
    </w:p>
    <w:p>
      <w:pPr>
        <w:pStyle w:val="null3"/>
        <w:jc w:val="center"/>
        <w:outlineLvl w:val="2"/>
      </w:pPr>
      <w:r>
        <w:rPr>
          <w:rFonts w:ascii="仿宋_GB2312" w:hAnsi="仿宋_GB2312" w:cs="仿宋_GB2312" w:eastAsia="仿宋_GB2312"/>
          <w:sz w:val="28"/>
          <w:b/>
        </w:rPr>
        <w:t>西安市新城区人民法院[153]</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西安市新城区人民法院[153]</w:t>
      </w:r>
      <w:r>
        <w:rPr>
          <w:rFonts w:ascii="仿宋_GB2312" w:hAnsi="仿宋_GB2312" w:cs="仿宋_GB2312" w:eastAsia="仿宋_GB2312"/>
        </w:rPr>
        <w:t>委托，拟对</w:t>
      </w:r>
      <w:r>
        <w:rPr>
          <w:rFonts w:ascii="仿宋_GB2312" w:hAnsi="仿宋_GB2312" w:cs="仿宋_GB2312" w:eastAsia="仿宋_GB2312"/>
        </w:rPr>
        <w:t>审判大楼竣工结算审核及决算审计采购项目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SXDY-2026-009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审判大楼竣工结算审核及决算审计采购项目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西安市新城区人民法院审判大楼的竣工审核，包括项目的工程结算和财务决算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采购包1（审判大楼竣工结算审核及决算审计采购项目）：属于专门面向中小企业采购。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1、主体身份证明：提供合格有效的法人或者其他组织的营业执照等证明文件或自然人的身份证明；（如联合体响应各方均需提供）</w:t>
      </w:r>
    </w:p>
    <w:p>
      <w:pPr>
        <w:pStyle w:val="null3"/>
      </w:pPr>
      <w:r>
        <w:rPr>
          <w:rFonts w:ascii="仿宋_GB2312" w:hAnsi="仿宋_GB2312" w:cs="仿宋_GB2312" w:eastAsia="仿宋_GB2312"/>
        </w:rPr>
        <w:t>2、财务状况报告：供应商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如联合体响应各方均需提供）</w:t>
      </w:r>
    </w:p>
    <w:p>
      <w:pPr>
        <w:pStyle w:val="null3"/>
      </w:pPr>
      <w:r>
        <w:rPr>
          <w:rFonts w:ascii="仿宋_GB2312" w:hAnsi="仿宋_GB2312" w:cs="仿宋_GB2312" w:eastAsia="仿宋_GB2312"/>
        </w:rPr>
        <w:t>3、税收缴纳证明：投标截止日前6个月内任意一个月依法缴纳税收的相关凭据（时间以税款所属日期为准），凭据应有税务机关或代收机关的公章或业务专用章。依法免税或无须缴纳税收的供应商，应提供相应证明文件；（如联合体响应各方均需提供）</w:t>
      </w:r>
    </w:p>
    <w:p>
      <w:pPr>
        <w:pStyle w:val="null3"/>
      </w:pPr>
      <w:r>
        <w:rPr>
          <w:rFonts w:ascii="仿宋_GB2312" w:hAnsi="仿宋_GB2312" w:cs="仿宋_GB2312" w:eastAsia="仿宋_GB2312"/>
        </w:rPr>
        <w:t>4、社会保障资金缴纳证明：投标截止日前6个月内任意一个月缴纳社会保障资金缴存单据或社保机构开具的社会保险参保缴费情况证明，依法不需要缴纳社会保障资金的单位应提供相关证明材料；（如联合体响应各方均需提供）</w:t>
      </w:r>
    </w:p>
    <w:p>
      <w:pPr>
        <w:pStyle w:val="null3"/>
      </w:pPr>
      <w:r>
        <w:rPr>
          <w:rFonts w:ascii="仿宋_GB2312" w:hAnsi="仿宋_GB2312" w:cs="仿宋_GB2312" w:eastAsia="仿宋_GB2312"/>
        </w:rPr>
        <w:t>5、声明：参加政府采购活动前3年内，在经营活动中没有重大违法记录的书面声明；（如联合体响应各方均需提供）</w:t>
      </w:r>
    </w:p>
    <w:p>
      <w:pPr>
        <w:pStyle w:val="null3"/>
      </w:pPr>
      <w:r>
        <w:rPr>
          <w:rFonts w:ascii="仿宋_GB2312" w:hAnsi="仿宋_GB2312" w:cs="仿宋_GB2312" w:eastAsia="仿宋_GB2312"/>
        </w:rPr>
        <w:t>6、承诺：具备履行合同所必需的设备和专业技术能力的证明材料（由供应商根据项目需求提供说明材料或者承诺）（如联合体响应各方均需提供）</w:t>
      </w:r>
    </w:p>
    <w:p>
      <w:pPr>
        <w:pStyle w:val="null3"/>
      </w:pPr>
      <w:r>
        <w:rPr>
          <w:rFonts w:ascii="仿宋_GB2312" w:hAnsi="仿宋_GB2312" w:cs="仿宋_GB2312" w:eastAsia="仿宋_GB2312"/>
        </w:rPr>
        <w:t>7、法定代表人授权委托书：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牵头单位需提供）</w:t>
      </w:r>
    </w:p>
    <w:p>
      <w:pPr>
        <w:pStyle w:val="null3"/>
      </w:pPr>
      <w:r>
        <w:rPr>
          <w:rFonts w:ascii="仿宋_GB2312" w:hAnsi="仿宋_GB2312" w:cs="仿宋_GB2312" w:eastAsia="仿宋_GB2312"/>
        </w:rPr>
        <w:t>8、联合体响应：本项目接受联合体响应（仅允许中型、小型、或微型企业参与），若联合体投标，联合体须提供联合体协议书，明确各方拟承担的合同任务，联合体牵头方及成员总数最多不得超过2个。（其中负责竣工结算审核的单位应具有工程造价咨询资格，项目负责人应具备全国注册一级造价工程师，负责决算审计的单位应具有财政部门颁发的会计师事务所执业证书，项目负责人应具有注册会计师执业资格）</w:t>
      </w:r>
    </w:p>
    <w:p>
      <w:pPr>
        <w:pStyle w:val="null3"/>
      </w:pPr>
      <w:r>
        <w:rPr>
          <w:rFonts w:ascii="仿宋_GB2312" w:hAnsi="仿宋_GB2312" w:cs="仿宋_GB2312" w:eastAsia="仿宋_GB2312"/>
        </w:rPr>
        <w:t>9、其他：以联合体形式参加本项目的，联合体各方不得再单独参加或者与其他单位另外组成联合体参加同一合同项目；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西安市新城区人民法院[153]</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西安市新城区太华路街道含元路105号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029-82556675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陕西省西安市雁塔区西三交村长丰园I区1幢C单元11层1110室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15619691896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代理服务费收费标准：代理服务费参照国家发改委文件计价格〔2002〕1980号及发改价格〔2011〕534号文件规定标准计取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西安市新城区人民法院[153]</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西安市新城区人民法院[153]</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西安市新城区人民法院[153]</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联系人：吴皓</w:t>
      </w:r>
    </w:p>
    <w:p>
      <w:pPr>
        <w:pStyle w:val="null3"/>
      </w:pPr>
      <w:r>
        <w:rPr>
          <w:rFonts w:ascii="仿宋_GB2312" w:hAnsi="仿宋_GB2312" w:cs="仿宋_GB2312" w:eastAsia="仿宋_GB2312"/>
        </w:rPr>
        <w:t>联系电话：15619691896</w:t>
      </w:r>
    </w:p>
    <w:p>
      <w:pPr>
        <w:pStyle w:val="null3"/>
      </w:pPr>
      <w:r>
        <w:rPr>
          <w:rFonts w:ascii="仿宋_GB2312" w:hAnsi="仿宋_GB2312" w:cs="仿宋_GB2312" w:eastAsia="仿宋_GB2312"/>
        </w:rPr>
        <w:t>地址：陕西省西安市雁塔区西三交村长丰园I区1幢C单元11层1110室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西安市新城区人民法院审判大楼的竣工审核，包括项目的工程结算和财务决算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西安市新城区人民法院审判大楼</w:t>
            </w:r>
            <w:r>
              <w:rPr>
                <w:rFonts w:ascii="仿宋_GB2312" w:hAnsi="仿宋_GB2312" w:cs="仿宋_GB2312" w:eastAsia="仿宋_GB2312"/>
                <w:sz w:val="24"/>
              </w:rPr>
              <w:t>的</w:t>
            </w:r>
            <w:r>
              <w:rPr>
                <w:rFonts w:ascii="仿宋_GB2312" w:hAnsi="仿宋_GB2312" w:cs="仿宋_GB2312" w:eastAsia="仿宋_GB2312"/>
                <w:sz w:val="24"/>
              </w:rPr>
              <w:t>竣工</w:t>
            </w:r>
            <w:r>
              <w:rPr>
                <w:rFonts w:ascii="仿宋_GB2312" w:hAnsi="仿宋_GB2312" w:cs="仿宋_GB2312" w:eastAsia="仿宋_GB2312"/>
                <w:sz w:val="24"/>
              </w:rPr>
              <w:t>审核，包括</w:t>
            </w:r>
            <w:r>
              <w:rPr>
                <w:rFonts w:ascii="仿宋_GB2312" w:hAnsi="仿宋_GB2312" w:cs="仿宋_GB2312" w:eastAsia="仿宋_GB2312"/>
                <w:sz w:val="24"/>
              </w:rPr>
              <w:t>项目的工程结算和财务决算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本项目送审金额约</w:t>
            </w:r>
            <w:r>
              <w:rPr>
                <w:rFonts w:ascii="仿宋_GB2312" w:hAnsi="仿宋_GB2312" w:cs="仿宋_GB2312" w:eastAsia="仿宋_GB2312"/>
                <w:sz w:val="24"/>
              </w:rPr>
              <w:t>18100万元</w:t>
            </w:r>
          </w:p>
          <w:p>
            <w:pPr>
              <w:pStyle w:val="null3"/>
              <w:ind w:firstLine="480"/>
              <w:jc w:val="both"/>
            </w:pPr>
            <w:r>
              <w:rPr>
                <w:rFonts w:ascii="仿宋_GB2312" w:hAnsi="仿宋_GB2312" w:cs="仿宋_GB2312" w:eastAsia="仿宋_GB2312"/>
                <w:sz w:val="24"/>
              </w:rPr>
              <w:t>二、商务要求</w:t>
            </w:r>
          </w:p>
          <w:p>
            <w:pPr>
              <w:pStyle w:val="null3"/>
              <w:ind w:firstLine="480"/>
              <w:jc w:val="both"/>
            </w:pPr>
            <w:r>
              <w:rPr>
                <w:rFonts w:ascii="仿宋_GB2312" w:hAnsi="仿宋_GB2312" w:cs="仿宋_GB2312" w:eastAsia="仿宋_GB2312"/>
                <w:sz w:val="24"/>
              </w:rPr>
              <w:t>提供建设工程竣工结算和财务决算服务，满足准确核算我院审判</w:t>
            </w:r>
            <w:r>
              <w:rPr>
                <w:rFonts w:ascii="仿宋_GB2312" w:hAnsi="仿宋_GB2312" w:cs="仿宋_GB2312" w:eastAsia="仿宋_GB2312"/>
                <w:sz w:val="24"/>
              </w:rPr>
              <w:t>大</w:t>
            </w:r>
            <w:r>
              <w:rPr>
                <w:rFonts w:ascii="仿宋_GB2312" w:hAnsi="仿宋_GB2312" w:cs="仿宋_GB2312" w:eastAsia="仿宋_GB2312"/>
                <w:sz w:val="24"/>
              </w:rPr>
              <w:t>楼项目工程及财务相关决算的目标。</w:t>
            </w:r>
          </w:p>
          <w:p>
            <w:pPr>
              <w:pStyle w:val="null3"/>
              <w:ind w:firstLine="480"/>
              <w:jc w:val="both"/>
            </w:pPr>
            <w:r>
              <w:rPr>
                <w:rFonts w:ascii="仿宋_GB2312" w:hAnsi="仿宋_GB2312" w:cs="仿宋_GB2312" w:eastAsia="仿宋_GB2312"/>
                <w:sz w:val="24"/>
              </w:rPr>
              <w:t>服务期</w:t>
            </w:r>
            <w:r>
              <w:rPr>
                <w:rFonts w:ascii="仿宋_GB2312" w:hAnsi="仿宋_GB2312" w:cs="仿宋_GB2312" w:eastAsia="仿宋_GB2312"/>
                <w:sz w:val="24"/>
              </w:rPr>
              <w:t>:</w:t>
            </w:r>
            <w:r>
              <w:rPr>
                <w:rFonts w:ascii="仿宋_GB2312" w:hAnsi="仿宋_GB2312" w:cs="仿宋_GB2312" w:eastAsia="仿宋_GB2312"/>
                <w:sz w:val="24"/>
              </w:rPr>
              <w:t>自合同签订之日起</w:t>
            </w:r>
            <w:r>
              <w:rPr>
                <w:rFonts w:ascii="仿宋_GB2312" w:hAnsi="仿宋_GB2312" w:cs="仿宋_GB2312" w:eastAsia="仿宋_GB2312"/>
                <w:sz w:val="24"/>
              </w:rPr>
              <w:t>50个工作日内出结算、决算审核</w:t>
            </w:r>
            <w:r>
              <w:rPr>
                <w:rFonts w:ascii="仿宋_GB2312" w:hAnsi="仿宋_GB2312" w:cs="仿宋_GB2312" w:eastAsia="仿宋_GB2312"/>
                <w:sz w:val="24"/>
              </w:rPr>
              <w:t>报告。</w:t>
            </w:r>
          </w:p>
          <w:p>
            <w:pPr>
              <w:pStyle w:val="null3"/>
              <w:ind w:firstLine="480"/>
              <w:jc w:val="both"/>
            </w:pPr>
            <w:r>
              <w:rPr>
                <w:rFonts w:ascii="仿宋_GB2312" w:hAnsi="仿宋_GB2312" w:cs="仿宋_GB2312" w:eastAsia="仿宋_GB2312"/>
                <w:sz w:val="24"/>
              </w:rPr>
              <w:t>付款方式</w:t>
            </w:r>
            <w:r>
              <w:rPr>
                <w:rFonts w:ascii="仿宋_GB2312" w:hAnsi="仿宋_GB2312" w:cs="仿宋_GB2312" w:eastAsia="仿宋_GB2312"/>
                <w:sz w:val="24"/>
              </w:rPr>
              <w:t>:</w:t>
            </w:r>
            <w:r>
              <w:rPr>
                <w:rFonts w:ascii="仿宋_GB2312" w:hAnsi="仿宋_GB2312" w:cs="仿宋_GB2312" w:eastAsia="仿宋_GB2312"/>
                <w:sz w:val="24"/>
              </w:rPr>
              <w:t>资金拨付到位后</w:t>
            </w:r>
            <w:r>
              <w:rPr>
                <w:rFonts w:ascii="仿宋_GB2312" w:hAnsi="仿宋_GB2312" w:cs="仿宋_GB2312" w:eastAsia="仿宋_GB2312"/>
                <w:sz w:val="24"/>
              </w:rPr>
              <w:t>7日内支付40%预付款，待</w:t>
            </w:r>
            <w:r>
              <w:rPr>
                <w:rFonts w:ascii="仿宋_GB2312" w:hAnsi="仿宋_GB2312" w:cs="仿宋_GB2312" w:eastAsia="仿宋_GB2312"/>
                <w:sz w:val="24"/>
              </w:rPr>
              <w:t>出具结果报告后</w:t>
            </w:r>
            <w:r>
              <w:rPr>
                <w:rFonts w:ascii="仿宋_GB2312" w:hAnsi="仿宋_GB2312" w:cs="仿宋_GB2312" w:eastAsia="仿宋_GB2312"/>
                <w:sz w:val="24"/>
              </w:rPr>
              <w:t>30日内</w:t>
            </w:r>
            <w:r>
              <w:rPr>
                <w:rFonts w:ascii="仿宋_GB2312" w:hAnsi="仿宋_GB2312" w:cs="仿宋_GB2312" w:eastAsia="仿宋_GB2312"/>
                <w:sz w:val="24"/>
              </w:rPr>
              <w:t>，一次性付清</w:t>
            </w:r>
            <w:r>
              <w:rPr>
                <w:rFonts w:ascii="仿宋_GB2312" w:hAnsi="仿宋_GB2312" w:cs="仿宋_GB2312" w:eastAsia="仿宋_GB2312"/>
                <w:sz w:val="24"/>
              </w:rPr>
              <w:t>剩余款项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三、采购项目最高限价</w:t>
            </w:r>
          </w:p>
          <w:p>
            <w:pPr>
              <w:pStyle w:val="null3"/>
              <w:ind w:firstLine="480"/>
              <w:jc w:val="both"/>
            </w:pPr>
            <w:r>
              <w:rPr>
                <w:rFonts w:ascii="仿宋_GB2312" w:hAnsi="仿宋_GB2312" w:cs="仿宋_GB2312" w:eastAsia="仿宋_GB2312"/>
                <w:sz w:val="24"/>
              </w:rPr>
              <w:t>本项目</w:t>
            </w:r>
            <w:r>
              <w:rPr>
                <w:rFonts w:ascii="仿宋_GB2312" w:hAnsi="仿宋_GB2312" w:cs="仿宋_GB2312" w:eastAsia="仿宋_GB2312"/>
                <w:sz w:val="24"/>
              </w:rPr>
              <w:t>最高限价</w:t>
            </w:r>
            <w:r>
              <w:rPr>
                <w:rFonts w:ascii="仿宋_GB2312" w:hAnsi="仿宋_GB2312" w:cs="仿宋_GB2312" w:eastAsia="仿宋_GB2312"/>
                <w:sz w:val="24"/>
              </w:rPr>
              <w:t>80万元,其中工程结算64万元，财务审计16万元，供应商报价时，总价不得超过本项目</w:t>
            </w:r>
            <w:r>
              <w:rPr>
                <w:rFonts w:ascii="仿宋_GB2312" w:hAnsi="仿宋_GB2312" w:cs="仿宋_GB2312" w:eastAsia="仿宋_GB2312"/>
                <w:sz w:val="24"/>
              </w:rPr>
              <w:t>最高限价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四、服务费用及有关要求（根据项目实际情况调整）</w:t>
            </w:r>
          </w:p>
          <w:p>
            <w:pPr>
              <w:pStyle w:val="null3"/>
              <w:ind w:firstLine="480"/>
              <w:jc w:val="both"/>
            </w:pPr>
            <w:r>
              <w:rPr>
                <w:rFonts w:ascii="仿宋_GB2312" w:hAnsi="仿宋_GB2312" w:cs="仿宋_GB2312" w:eastAsia="仿宋_GB2312"/>
                <w:sz w:val="24"/>
              </w:rPr>
              <w:t>磋商报价不</w:t>
            </w:r>
            <w:r>
              <w:rPr>
                <w:rFonts w:ascii="仿宋_GB2312" w:hAnsi="仿宋_GB2312" w:cs="仿宋_GB2312" w:eastAsia="仿宋_GB2312"/>
                <w:sz w:val="24"/>
              </w:rPr>
              <w:t>随市场价格增加而变化，不得以任何理由再提出任何增加费用的要求。</w:t>
            </w:r>
          </w:p>
          <w:p>
            <w:pPr>
              <w:pStyle w:val="null3"/>
              <w:ind w:firstLine="480"/>
              <w:jc w:val="both"/>
            </w:pPr>
            <w:r>
              <w:rPr>
                <w:rFonts w:ascii="仿宋_GB2312" w:hAnsi="仿宋_GB2312" w:cs="仿宋_GB2312" w:eastAsia="仿宋_GB2312"/>
                <w:sz w:val="24"/>
              </w:rPr>
              <w:t>1、严格执行并落实国家和省、市关于预结算的编审质量管理等相关制度。本着为政府合理节约投资的原则，科学、客观、公正地开展工程</w:t>
            </w:r>
            <w:r>
              <w:rPr>
                <w:rFonts w:ascii="仿宋_GB2312" w:hAnsi="仿宋_GB2312" w:cs="仿宋_GB2312" w:eastAsia="仿宋_GB2312"/>
                <w:sz w:val="24"/>
              </w:rPr>
              <w:t>结算</w:t>
            </w:r>
            <w:r>
              <w:rPr>
                <w:rFonts w:ascii="仿宋_GB2312" w:hAnsi="仿宋_GB2312" w:cs="仿宋_GB2312" w:eastAsia="仿宋_GB2312"/>
                <w:sz w:val="24"/>
              </w:rPr>
              <w:t>审核工作；应按采购人的要求，按时按质提供报告，对报告的真实性、准确性负责，并负有保密责任。</w:t>
            </w:r>
          </w:p>
          <w:p>
            <w:pPr>
              <w:pStyle w:val="null3"/>
              <w:ind w:firstLine="480"/>
              <w:jc w:val="both"/>
            </w:pPr>
            <w:r>
              <w:rPr>
                <w:rFonts w:ascii="仿宋_GB2312" w:hAnsi="仿宋_GB2312" w:cs="仿宋_GB2312" w:eastAsia="仿宋_GB2312"/>
                <w:sz w:val="24"/>
              </w:rPr>
              <w:t>2、严格执行相关法规和文件，按照计价规范、市场价格信息、相关的管理制度进行计价，成果文件中的量、价、费准确、合规、合理。</w:t>
            </w:r>
          </w:p>
          <w:p>
            <w:pPr>
              <w:pStyle w:val="null3"/>
              <w:ind w:firstLine="480"/>
              <w:jc w:val="both"/>
            </w:pPr>
            <w:r>
              <w:rPr>
                <w:rFonts w:ascii="仿宋_GB2312" w:hAnsi="仿宋_GB2312" w:cs="仿宋_GB2312" w:eastAsia="仿宋_GB2312"/>
                <w:sz w:val="24"/>
              </w:rPr>
              <w:t>3、对不明确的地方应及时提出，保证资料完善。</w:t>
            </w:r>
          </w:p>
          <w:p>
            <w:pPr>
              <w:pStyle w:val="null3"/>
              <w:ind w:firstLine="480"/>
              <w:jc w:val="both"/>
            </w:pPr>
            <w:r>
              <w:rPr>
                <w:rFonts w:ascii="仿宋_GB2312" w:hAnsi="仿宋_GB2312" w:cs="仿宋_GB2312" w:eastAsia="仿宋_GB2312"/>
                <w:sz w:val="24"/>
              </w:rPr>
              <w:t>4、供应商应当对审核工作质量负责，采购人有权请第三方对供应商的成果文件进行复核，供应商应当无条件配合核对、更正等相关工作。</w:t>
            </w:r>
          </w:p>
          <w:p>
            <w:pPr>
              <w:pStyle w:val="null3"/>
              <w:ind w:firstLine="480"/>
              <w:jc w:val="both"/>
            </w:pPr>
            <w:r>
              <w:rPr>
                <w:rFonts w:ascii="仿宋_GB2312" w:hAnsi="仿宋_GB2312" w:cs="仿宋_GB2312" w:eastAsia="仿宋_GB2312"/>
                <w:sz w:val="24"/>
              </w:rPr>
              <w:t>5、向采购人提供工作底稿，要求工作底稿准确(严格按照国家现行规定计算)、规范，与成果文件保持一致。</w:t>
            </w:r>
          </w:p>
          <w:p>
            <w:pPr>
              <w:pStyle w:val="null3"/>
              <w:ind w:firstLine="480"/>
              <w:jc w:val="both"/>
            </w:pPr>
            <w:r>
              <w:rPr>
                <w:rFonts w:ascii="仿宋_GB2312" w:hAnsi="仿宋_GB2312" w:cs="仿宋_GB2312" w:eastAsia="仿宋_GB2312"/>
                <w:sz w:val="24"/>
              </w:rPr>
              <w:t>6、成交供应商应独立完成工作任务，不得以任何形式将工作任务再委托其他机构。</w:t>
            </w:r>
          </w:p>
          <w:p>
            <w:pPr>
              <w:pStyle w:val="null3"/>
              <w:ind w:firstLine="480"/>
              <w:jc w:val="both"/>
            </w:pPr>
            <w:r>
              <w:rPr>
                <w:rFonts w:ascii="仿宋_GB2312" w:hAnsi="仿宋_GB2312" w:cs="仿宋_GB2312" w:eastAsia="仿宋_GB2312"/>
                <w:sz w:val="24"/>
              </w:rPr>
              <w:t>7、成交供应商应建立严格的项目档案管理制度，完整、准确、真实地反映和记录项目评审的情况，做好各类资料的归集、存档和保管工作。</w:t>
            </w:r>
          </w:p>
          <w:p>
            <w:pPr>
              <w:pStyle w:val="null3"/>
              <w:ind w:firstLine="480"/>
              <w:jc w:val="both"/>
            </w:pPr>
            <w:r>
              <w:rPr>
                <w:rFonts w:ascii="仿宋_GB2312" w:hAnsi="仿宋_GB2312" w:cs="仿宋_GB2312" w:eastAsia="仿宋_GB2312"/>
                <w:sz w:val="24"/>
              </w:rPr>
              <w:t>8、为项目的顺利执行，项目负责人</w:t>
            </w:r>
            <w:r>
              <w:rPr>
                <w:rFonts w:ascii="仿宋_GB2312" w:hAnsi="仿宋_GB2312" w:cs="仿宋_GB2312" w:eastAsia="仿宋_GB2312"/>
                <w:sz w:val="24"/>
              </w:rPr>
              <w:t>必须</w:t>
            </w:r>
            <w:r>
              <w:rPr>
                <w:rFonts w:ascii="仿宋_GB2312" w:hAnsi="仿宋_GB2312" w:cs="仿宋_GB2312" w:eastAsia="仿宋_GB2312"/>
                <w:sz w:val="24"/>
              </w:rPr>
              <w:t>为本项目的主要业务联系人。</w:t>
            </w:r>
          </w:p>
          <w:p>
            <w:pPr>
              <w:pStyle w:val="null3"/>
              <w:ind w:firstLine="480"/>
              <w:jc w:val="both"/>
            </w:pPr>
            <w:r>
              <w:rPr>
                <w:rFonts w:ascii="仿宋_GB2312" w:hAnsi="仿宋_GB2312" w:cs="仿宋_GB2312" w:eastAsia="仿宋_GB2312"/>
                <w:sz w:val="24"/>
              </w:rPr>
              <w:t>9、为保证服务质量及服务的时效性，成交供应商应当建立、健全投诉及服务保障体系，保障体系应当包含处理相关事项的人员及分工、响应时间及投诉处理等内容。</w:t>
            </w:r>
          </w:p>
          <w:p>
            <w:pPr>
              <w:pStyle w:val="null3"/>
              <w:ind w:firstLine="480"/>
              <w:jc w:val="both"/>
            </w:pPr>
            <w:r>
              <w:rPr>
                <w:rFonts w:ascii="仿宋_GB2312" w:hAnsi="仿宋_GB2312" w:cs="仿宋_GB2312" w:eastAsia="仿宋_GB2312"/>
                <w:sz w:val="24"/>
              </w:rPr>
              <w:t>五、核对纪律</w:t>
            </w:r>
          </w:p>
          <w:p>
            <w:pPr>
              <w:pStyle w:val="null3"/>
              <w:ind w:firstLine="480"/>
              <w:jc w:val="both"/>
            </w:pPr>
            <w:r>
              <w:rPr>
                <w:rFonts w:ascii="仿宋_GB2312" w:hAnsi="仿宋_GB2312" w:cs="仿宋_GB2312" w:eastAsia="仿宋_GB2312"/>
                <w:sz w:val="24"/>
              </w:rPr>
              <w:t>为促进项目核对工作高效、有序开展，避免核对过程中出现推诿、进度延迟等现象，现将咨询项目核对工作纪律规定如下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1、项目核对期间核对人员的工作时间原则上为每天上午9:00</w:t>
            </w:r>
            <w:r>
              <w:rPr>
                <w:rFonts w:ascii="仿宋_GB2312" w:hAnsi="仿宋_GB2312" w:cs="仿宋_GB2312" w:eastAsia="仿宋_GB2312"/>
                <w:sz w:val="24"/>
              </w:rPr>
              <w:t>—</w:t>
            </w:r>
            <w:r>
              <w:rPr>
                <w:rFonts w:ascii="仿宋_GB2312" w:hAnsi="仿宋_GB2312" w:cs="仿宋_GB2312" w:eastAsia="仿宋_GB2312"/>
                <w:sz w:val="24"/>
              </w:rPr>
              <w:t>12:00,下午14:00</w:t>
            </w:r>
            <w:r>
              <w:rPr>
                <w:rFonts w:ascii="仿宋_GB2312" w:hAnsi="仿宋_GB2312" w:cs="仿宋_GB2312" w:eastAsia="仿宋_GB2312"/>
                <w:sz w:val="24"/>
              </w:rPr>
              <w:t>—</w:t>
            </w:r>
            <w:r>
              <w:rPr>
                <w:rFonts w:ascii="仿宋_GB2312" w:hAnsi="仿宋_GB2312" w:cs="仿宋_GB2312" w:eastAsia="仿宋_GB2312"/>
                <w:sz w:val="24"/>
              </w:rPr>
              <w:t>17:50。核对期间，核对人员须在成交供应商组织的且经采购人同意后的固定地点签到和签退，时间分别为每天上午9:00前和17:50后，收尾项目的签退时间根据实际情况确定。</w:t>
            </w:r>
          </w:p>
          <w:p>
            <w:pPr>
              <w:pStyle w:val="null3"/>
              <w:ind w:firstLine="480"/>
              <w:jc w:val="both"/>
            </w:pPr>
            <w:r>
              <w:rPr>
                <w:rFonts w:ascii="仿宋_GB2312" w:hAnsi="仿宋_GB2312" w:cs="仿宋_GB2312" w:eastAsia="仿宋_GB2312"/>
                <w:sz w:val="24"/>
              </w:rPr>
              <w:t>2、项目核对地点和开始时间经成交供应商报采购人同意后，由成交供应商安排并通知各单位，各单位须按时到达指定地点开展核对工作。同时，各单位在核对前须提供规范、有效的工作底稿。</w:t>
            </w:r>
          </w:p>
          <w:p>
            <w:pPr>
              <w:pStyle w:val="null3"/>
              <w:ind w:firstLine="480"/>
              <w:jc w:val="both"/>
            </w:pPr>
            <w:r>
              <w:rPr>
                <w:rFonts w:ascii="仿宋_GB2312" w:hAnsi="仿宋_GB2312" w:cs="仿宋_GB2312" w:eastAsia="仿宋_GB2312"/>
                <w:sz w:val="24"/>
              </w:rPr>
              <w:t>3、核对工作开始后原则上不得中断，直至核对结束并达成一致，确需中断核对工作的，需提前一天由成交供应商报采购人同意后方可中断，若有违反，按缺席处理。</w:t>
            </w:r>
          </w:p>
          <w:p>
            <w:pPr>
              <w:pStyle w:val="null3"/>
              <w:ind w:firstLine="480"/>
              <w:jc w:val="both"/>
            </w:pPr>
            <w:r>
              <w:rPr>
                <w:rFonts w:ascii="仿宋_GB2312" w:hAnsi="仿宋_GB2312" w:cs="仿宋_GB2312" w:eastAsia="仿宋_GB2312"/>
                <w:sz w:val="24"/>
              </w:rPr>
              <w:t>4、核对期间严禁核对人员处理与本项目核对工作无关的事宜，一经发现，按缺席处理。</w:t>
            </w:r>
          </w:p>
          <w:p>
            <w:pPr>
              <w:pStyle w:val="null3"/>
            </w:pPr>
            <w:r>
              <w:rPr>
                <w:rFonts w:ascii="仿宋_GB2312" w:hAnsi="仿宋_GB2312" w:cs="仿宋_GB2312" w:eastAsia="仿宋_GB2312"/>
                <w:sz w:val="24"/>
              </w:rPr>
              <w:t>5、核对人员</w:t>
            </w:r>
            <w:r>
              <w:rPr>
                <w:rFonts w:ascii="仿宋_GB2312" w:hAnsi="仿宋_GB2312" w:cs="仿宋_GB2312" w:eastAsia="仿宋_GB2312"/>
                <w:sz w:val="24"/>
              </w:rPr>
              <w:t>（</w:t>
            </w:r>
            <w:r>
              <w:rPr>
                <w:rFonts w:ascii="仿宋_GB2312" w:hAnsi="仿宋_GB2312" w:cs="仿宋_GB2312" w:eastAsia="仿宋_GB2312"/>
                <w:sz w:val="24"/>
              </w:rPr>
              <w:t>含劳动合同及资质注册</w:t>
            </w:r>
            <w:r>
              <w:rPr>
                <w:rFonts w:ascii="仿宋_GB2312" w:hAnsi="仿宋_GB2312" w:cs="仿宋_GB2312" w:eastAsia="仿宋_GB2312"/>
                <w:sz w:val="24"/>
              </w:rPr>
              <w:t>）</w:t>
            </w:r>
            <w:r>
              <w:rPr>
                <w:rFonts w:ascii="仿宋_GB2312" w:hAnsi="仿宋_GB2312" w:cs="仿宋_GB2312" w:eastAsia="仿宋_GB2312"/>
                <w:sz w:val="24"/>
              </w:rPr>
              <w:t>应为本单位人员</w:t>
            </w:r>
            <w:r>
              <w:rPr>
                <w:rFonts w:ascii="仿宋_GB2312" w:hAnsi="仿宋_GB2312" w:cs="仿宋_GB2312" w:eastAsia="仿宋_GB2312"/>
                <w:sz w:val="24"/>
              </w:rPr>
              <w:t>（</w:t>
            </w:r>
            <w:r>
              <w:rPr>
                <w:rFonts w:ascii="仿宋_GB2312" w:hAnsi="仿宋_GB2312" w:cs="仿宋_GB2312" w:eastAsia="仿宋_GB2312"/>
                <w:sz w:val="24"/>
              </w:rPr>
              <w:t>采购人有权对核对人员信息进行核查处理</w:t>
            </w:r>
            <w:r>
              <w:rPr>
                <w:rFonts w:ascii="仿宋_GB2312" w:hAnsi="仿宋_GB2312" w:cs="仿宋_GB2312" w:eastAsia="仿宋_GB2312"/>
                <w:sz w:val="24"/>
              </w:rPr>
              <w:t>）</w:t>
            </w:r>
            <w:r>
              <w:rPr>
                <w:rFonts w:ascii="仿宋_GB2312" w:hAnsi="仿宋_GB2312" w:cs="仿宋_GB2312" w:eastAsia="仿宋_GB2312"/>
                <w:sz w:val="24"/>
              </w:rPr>
              <w:t>，且均须具备相应专业资格和技能，因核对人员缺乏相应专业资格和技能，而导致核对工作无法正常开展的，按缺席处理，相关单位应更换合格人员开展核对工作。非甲方要求，在整个结算核对过程中不允许供应商更换核对人员</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自合同签订之日起50个工作日内出结算、决算审核报告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合同签订且资金拨付到位后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待出具结果报告后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本项目划分标准为：其他未列明行业。从业人员 300 人以下的为中小微型企业。其中，从业人员 100 人及以上的为中型企业；从业人员 10 人及以上的为小型企业；从业人员 10 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提供合格有效的法人或者其他组织的营业执照等证明文件或自然人的身份证明；（如联合体响应各方均需提供）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如联合体响应各方均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截止日前6个月内任意一个月依法缴纳税收的相关凭据（时间以税款所属日期为准），凭据应有税务机关或代收机关的公章或业务专用章。依法免税或无须缴纳税收的供应商，应提供相应证明文件；（如联合体响应各方均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投标截止日前6个月内任意一个月缴纳社会保障资金缴存单据或社保机构开具的社会保险参保缴费情况证明，依法不需要缴纳社会保障资金的单位应提供相关证明材料；（如联合体响应各方均需提供）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参加政府采购活动前3年内，在经营活动中没有重大违法记录的书面声明；（如联合体响应各方均需提供）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具备履行合同所必需的设备和专业技术能力的证明材料（由供应商根据项目需求提供说明材料或者承诺）（如联合体响应各方均需提供）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授权代表身份证以及被授权人有效的劳动合同或者截止开标前六个月内任意一个月本单位社保缴纳证明；（牵头单位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联合体响应</w:t>
            </w:r>
          </w:p>
        </w:tc>
        <w:tc>
          <w:tcPr>
            <w:tcW w:type="dxa" w:w="3322"/>
          </w:tcPr>
          <w:p>
            <w:pPr>
              <w:pStyle w:val="null3"/>
            </w:pPr>
            <w:r>
              <w:rPr>
                <w:rFonts w:ascii="仿宋_GB2312" w:hAnsi="仿宋_GB2312" w:cs="仿宋_GB2312" w:eastAsia="仿宋_GB2312"/>
              </w:rPr>
              <w:t>本项目接受联合体响应（仅允许中型、小型、或微型企业参与），若联合体投标，联合体须提供联合体协议书，明确各方拟承担的合同任务，联合体牵头方及成员总数最多不得超过2个。（其中负责竣工结算审核的单位应具有工程造价咨询资格，项目负责人应具备全国注册一级造价工程师，负责决算审计的单位应具有财政部门颁发的会计师事务所执业证书，项目负责人应具有注册会计师执业资格）</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以联合体形式参加本项目的，联合体各方不得再单独参加或者与其他单位另外组成联合体参加同一合同项目；</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供应商认为应提交的其他资料.docx 业绩.docx 商务要求偏离表.docx 中小企业声明函 合同条款响应表.docx 报价表 商务应答表.docx 响应文件封面 分项报价表.docx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项目总体方案</w:t>
            </w:r>
          </w:p>
        </w:tc>
        <w:tc>
          <w:tcPr>
            <w:tcW w:type="dxa" w:w="2492"/>
          </w:tcPr>
          <w:p>
            <w:pPr>
              <w:pStyle w:val="null3"/>
            </w:pPr>
            <w:r>
              <w:rPr>
                <w:rFonts w:ascii="仿宋_GB2312" w:hAnsi="仿宋_GB2312" w:cs="仿宋_GB2312" w:eastAsia="仿宋_GB2312"/>
              </w:rPr>
              <w:t>供应商须针对本项目的审核内容阐述具体实施方案。方案要求全面具体，内容完整，条理清晰。包括但不限于：审核工作的目的、范围、内容等。 方案描述详细、全面、切实可行、完整合理、无缺项，可行性强，满足文件要求，计10分； 方案描述方案有缺项，有一定的针对性和较好的可行性，较好满足采购要求，计7分； 方案设计缺失较多，可行性一般。计4分。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工作理解及流程</w:t>
            </w:r>
          </w:p>
        </w:tc>
        <w:tc>
          <w:tcPr>
            <w:tcW w:type="dxa" w:w="2492"/>
          </w:tcPr>
          <w:p>
            <w:pPr>
              <w:pStyle w:val="null3"/>
            </w:pPr>
            <w:r>
              <w:rPr>
                <w:rFonts w:ascii="仿宋_GB2312" w:hAnsi="仿宋_GB2312" w:cs="仿宋_GB2312" w:eastAsia="仿宋_GB2312"/>
              </w:rPr>
              <w:t>供应商须针对本项目提供全面的审核业务政策解读，要求审核工作业务流程符合国家相关标准、规范，并提供详细的说明。 说明描述详细、全面，对政策的解读及理解透彻，能够保证本项目审核工作流程符合国家相关标准、规范计15分； 说明描述较为全面，基本满足采购人要求，提供对政策的解读，但有细微偏差计11分； 说明描述不详细，考虑不全面，计7分； 说明描述缺失较多，理解偏差较大，计3分。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 针对上述要求提供的方案说明描述详细、全面，逻辑清晰，满足采购人要求，计15分； 方案说明描述较为全面，合理，逻辑较为清晰，仅能基本满足上述要求的计11分； 服务方案描述不详细，考虑不全面，计7分； 服务方案设计缺失较多，可行性一般。计3分。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成果质量保证措施</w:t>
            </w:r>
          </w:p>
        </w:tc>
        <w:tc>
          <w:tcPr>
            <w:tcW w:type="dxa" w:w="2492"/>
          </w:tcPr>
          <w:p>
            <w:pPr>
              <w:pStyle w:val="null3"/>
            </w:pPr>
            <w:r>
              <w:rPr>
                <w:rFonts w:ascii="仿宋_GB2312" w:hAnsi="仿宋_GB2312" w:cs="仿宋_GB2312" w:eastAsia="仿宋_GB2312"/>
              </w:rPr>
              <w:t>供应商须按照采购人的质量要求出具成果，要求对审核工作及审核报告建立健全的质量控制体系。 质量保证措施得当、合理、可行，质量控制体系健全等，完全满足采购人需求，计15分； 措施基本得当，但有细微瑕疵的计11分； 措施有缺项，有一定的针对性和较好的可行性，较好满足采购要求，计7分； 措施缺失较多，可行性一般，计3分。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供应商须提供针对本项目的对审核工作及审核报告的进度保证措施。 措施得当、合理、可行，能够按照规定时间完成任务，制定具有可操作性的审核进度控制措施等，并附跟踪审核的阶段进行计划等，计8分； 方案措施有缺项，有一定的针对性和较好的可行性，较好满足采购要求。计6分； 进度保证措施可行性不高，计划不详细，计3分。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 项目团队人员配置合理，专业性强，岗位明确等，计15分； 项目团队人员具有一定的专业性，配置较为合理等，计11分； 团队人员专业性较差，岗位职责较模糊等，计7分 人员配置不合理，分工不明确等，计3分。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方案可行性高，解决措施得当、合理的，计6分； 方案可行性较高，解决措施较得当、合理的，计4分； 措施可行性不高，解决措施不太合理的，计2分；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投标人应提供2023年1月1日至今，类似业绩（联合体牵头单位或联合体成员单位），每提供一项有效业绩证明材料得2分，最高得6分。 (注：以合同签订时间为准，供应商应在相应文件中提供业绩合同复印件或扫描件且加盖单位公章。)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1.满足磋商文件实质性要求且最后报价最低的供应商磋商总报价（即各分项报价之和）为磋商基准价，其价格分为满分10分。 2.报价得分=（评审基准价/磋商总报价）×10。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详见附件：供应商认为应提交的其他资料.docx</w:t>
      </w:r>
    </w:p>
    <w:p>
      <w:pPr>
        <w:pStyle w:val="null3"/>
        <w:ind w:firstLine="960"/>
      </w:pPr>
      <w:r>
        <w:rPr>
          <w:rFonts w:ascii="仿宋_GB2312" w:hAnsi="仿宋_GB2312" w:cs="仿宋_GB2312" w:eastAsia="仿宋_GB2312"/>
        </w:rPr>
        <w:t>详见附件：合同条款响应表.docx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