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版本号：SXZD〔2025〕127FW20260121001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HIS系统维保项目(二次)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SXZD〔2025〕127FW</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陕西正大项目管理咨询有限公司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陕西正大项目管理咨询有限公司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HIS系统维保项目(二次)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SXZD〔2025〕127FW</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HIS系统维保项目(二次)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本采购范围仅限HIS系统、临床路径系统、电子病历系统软件部分及已有HIS系统接口的维保服务。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采购包1（西安市中心医院HIS系统维保项目）：属于专门面向中小企业采购。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1、中华人民共和国境内注册，能够独立承担民事责任的法人、其他组织或自然人：提供营业执照或其他组织经营的合法凭证或自然人的提供身份证明文件；</w:t>
      </w:r>
    </w:p>
    <w:p>
      <w:pPr>
        <w:pStyle w:val="null3"/>
      </w:pPr>
      <w:r>
        <w:rPr>
          <w:rFonts w:ascii="仿宋_GB2312" w:hAnsi="仿宋_GB2312" w:cs="仿宋_GB2312" w:eastAsia="仿宋_GB2312"/>
        </w:rPr>
        <w:t>2、授权委托书：非法定代表人参加投标的，须提供法定代表人委托授权书及被授权人近三个月内任意一个月在本单位的社会保障资金的缴纳证明，法定代表人参加投标时,只需提供法定代表人身份证；</w:t>
      </w:r>
    </w:p>
    <w:p>
      <w:pPr>
        <w:pStyle w:val="null3"/>
      </w:pPr>
      <w:r>
        <w:rPr>
          <w:rFonts w:ascii="仿宋_GB2312" w:hAnsi="仿宋_GB2312" w:cs="仿宋_GB2312" w:eastAsia="仿宋_GB2312"/>
        </w:rPr>
        <w:t>3、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提供2024年度经审计完整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5、税收缴纳证明：提供2025年1月至今已缴纳的任意1个月的纳税证明或完税证明，依法免税的单位应提供相关证明材料；</w:t>
      </w:r>
    </w:p>
    <w:p>
      <w:pPr>
        <w:pStyle w:val="null3"/>
      </w:pPr>
      <w:r>
        <w:rPr>
          <w:rFonts w:ascii="仿宋_GB2312" w:hAnsi="仿宋_GB2312" w:cs="仿宋_GB2312" w:eastAsia="仿宋_GB2312"/>
        </w:rPr>
        <w:t>6、社会保障资金缴纳证明：提供2025年1月至今已缴纳的任意1个月的社会保障资金缴存单据或社保机构开具的社会保险参保缴费情况证明，依法不需要缴纳社会保障资金的单位应提供相关证明材料；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7、承诺函：提供具有履行合同所必需的设备和专业技术能力的承诺；</w:t>
      </w:r>
    </w:p>
    <w:p>
      <w:pPr>
        <w:pStyle w:val="null3"/>
      </w:pPr>
      <w:r>
        <w:rPr>
          <w:rFonts w:ascii="仿宋_GB2312" w:hAnsi="仿宋_GB2312" w:cs="仿宋_GB2312" w:eastAsia="仿宋_GB2312"/>
        </w:rPr>
        <w:t>8、书面声明：在参加本次政府采购活动前3年内的经营活动没有重大违法记录的书面声明；</w:t>
      </w:r>
    </w:p>
    <w:p>
      <w:pPr>
        <w:pStyle w:val="null3"/>
      </w:pPr>
      <w:r>
        <w:rPr>
          <w:rFonts w:ascii="仿宋_GB2312" w:hAnsi="仿宋_GB2312" w:cs="仿宋_GB2312" w:eastAsia="仿宋_GB2312"/>
        </w:rPr>
        <w:t>9、本项目专门面向中小企业采购，供应商应为中小微企业或监狱企业或残疾人福利性单位：本项目专门面向中小企业采购，供应商应为中小微企业或监狱企业或残疾人福利性单位。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陕西正大项目管理咨询有限公司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西安经济技术开发区文景北路16号白桦林国际B座1201室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029-88811186（转604）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代理服务费参照国家发展和改革委员会《招标代理服务收费管理暂行办法》(计价格(2002)1980号)文件规定服务类标准下浮20%计取。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陕西正大项目管理咨询有限公司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陕西正大项目管理咨询有限公司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陕西正大项目管理咨询有限公司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陕西正大项目管理咨询有限公司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陕西正大项目管理咨询有限公司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陕西正大项目管理咨询有限公司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联系电话：029-88811186（转604）</w:t>
      </w:r>
    </w:p>
    <w:p>
      <w:pPr>
        <w:pStyle w:val="null3"/>
      </w:pPr>
      <w:r>
        <w:rPr>
          <w:rFonts w:ascii="仿宋_GB2312" w:hAnsi="仿宋_GB2312" w:cs="仿宋_GB2312" w:eastAsia="仿宋_GB2312"/>
        </w:rPr>
        <w:t>地址：西安经济技术开发区文景北路16号白桦林国际B座1201室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医院信息化建设经过多年发展，已经形成了以HIS为基础的多维信息化体系。特别是HIS系统在医院运行了多年，积累了大大小小300多个功能模块，这些功能覆盖了医院的门急诊、住院、药品、财务等医院运营核心业务的方方面面，HIS系统的稳定运行是医院正常运营的基础保障，是医院信息化日常运维工作的重中之重。而后续HIS系统又增建了临床路径系统，同时基于HIS的业务数据完成了与医保、LIS、EMR、PACS、院感、合理用药、集成平台等十几个系统的数据对接，这无疑使得原本维护工作量就巨大的维护工作更加复杂困难，甚至有时牵一发而动全身。再则，近年伴随着国家医疗卫生领域的改革与监管的强化，医院承担了越来越多的数据上报工作，这些数据复杂多样，大多数据源就来源于HIS系统，这又需要有专业的工程师进行数据分析、提取、加工、校验。因此，借鉴往年的供应商提供的服务力量已经远远达不到医院的正常系统运行要求，综合分析后，医院有必要继续采购HIS系统、临床路径系统、各类已有接口的维保服务，并加大维保服务投入，本次采购维保服务期为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HIS系统维保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标的名称：HIS系统维保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color w:val="000000"/>
              </w:rPr>
              <w:t>在合同执行过程中需要供应商应执行的相关服务标准和应当履行的相关义务。</w:t>
            </w:r>
          </w:p>
          <w:p>
            <w:pPr>
              <w:pStyle w:val="null3"/>
              <w:ind w:firstLine="420"/>
              <w:jc w:val="both"/>
            </w:pPr>
            <w:r>
              <w:rPr>
                <w:rFonts w:ascii="仿宋_GB2312" w:hAnsi="仿宋_GB2312" w:cs="仿宋_GB2312" w:eastAsia="仿宋_GB2312"/>
                <w:sz w:val="21"/>
                <w:color w:val="000000"/>
              </w:rPr>
              <w:t>（一）维保服务目标</w:t>
            </w:r>
          </w:p>
          <w:p>
            <w:pPr>
              <w:pStyle w:val="null3"/>
              <w:ind w:firstLine="420"/>
              <w:jc w:val="both"/>
            </w:pPr>
            <w:r>
              <w:rPr>
                <w:rFonts w:ascii="仿宋_GB2312" w:hAnsi="仿宋_GB2312" w:cs="仿宋_GB2312" w:eastAsia="仿宋_GB2312"/>
                <w:sz w:val="21"/>
                <w:color w:val="000000"/>
              </w:rPr>
              <w:t>提供优质服务确保维保的软件系统安全稳定运行，并快速响应采购人以下对维保服务内容的要求。</w:t>
            </w:r>
          </w:p>
          <w:p>
            <w:pPr>
              <w:pStyle w:val="null3"/>
              <w:ind w:firstLine="420"/>
              <w:jc w:val="both"/>
            </w:pPr>
            <w:r>
              <w:rPr>
                <w:rFonts w:ascii="仿宋_GB2312" w:hAnsi="仿宋_GB2312" w:cs="仿宋_GB2312" w:eastAsia="仿宋_GB2312"/>
                <w:sz w:val="21"/>
                <w:color w:val="000000"/>
              </w:rPr>
              <w:t>（二）维保服务周期：一年。</w:t>
            </w:r>
          </w:p>
          <w:p>
            <w:pPr>
              <w:pStyle w:val="null3"/>
              <w:ind w:firstLine="420"/>
              <w:jc w:val="both"/>
            </w:pPr>
            <w:r>
              <w:rPr>
                <w:rFonts w:ascii="仿宋_GB2312" w:hAnsi="仿宋_GB2312" w:cs="仿宋_GB2312" w:eastAsia="仿宋_GB2312"/>
                <w:sz w:val="21"/>
                <w:color w:val="000000"/>
              </w:rPr>
              <w:t>（三）维保服务范围</w:t>
            </w:r>
          </w:p>
          <w:p>
            <w:pPr>
              <w:pStyle w:val="null3"/>
              <w:ind w:firstLine="420"/>
              <w:jc w:val="both"/>
            </w:pPr>
            <w:r>
              <w:rPr>
                <w:rFonts w:ascii="仿宋_GB2312" w:hAnsi="仿宋_GB2312" w:cs="仿宋_GB2312" w:eastAsia="仿宋_GB2312"/>
                <w:sz w:val="21"/>
                <w:color w:val="000000"/>
              </w:rPr>
              <w:t>本招标范围仅限</w:t>
            </w:r>
            <w:r>
              <w:rPr>
                <w:rFonts w:ascii="仿宋_GB2312" w:hAnsi="仿宋_GB2312" w:cs="仿宋_GB2312" w:eastAsia="仿宋_GB2312"/>
                <w:sz w:val="21"/>
                <w:color w:val="000000"/>
              </w:rPr>
              <w:t>HIS系统、临床路径系统、电子病历系统软件部分及已有HIS系统接口，详见附件《现有系统运行模块清单》。</w:t>
            </w:r>
          </w:p>
          <w:p>
            <w:pPr>
              <w:pStyle w:val="null3"/>
              <w:ind w:firstLine="420"/>
              <w:jc w:val="both"/>
            </w:pPr>
            <w:r>
              <w:rPr>
                <w:rFonts w:ascii="仿宋_GB2312" w:hAnsi="仿宋_GB2312" w:cs="仿宋_GB2312" w:eastAsia="仿宋_GB2312"/>
                <w:sz w:val="21"/>
                <w:color w:val="000000"/>
              </w:rPr>
              <w:t>（四）维保服务内容</w:t>
            </w:r>
          </w:p>
          <w:p>
            <w:pPr>
              <w:pStyle w:val="null3"/>
              <w:ind w:firstLine="420"/>
              <w:jc w:val="both"/>
            </w:pPr>
            <w:r>
              <w:rPr>
                <w:rFonts w:ascii="仿宋_GB2312" w:hAnsi="仿宋_GB2312" w:cs="仿宋_GB2312" w:eastAsia="仿宋_GB2312"/>
                <w:sz w:val="21"/>
                <w:color w:val="000000"/>
              </w:rPr>
              <w:t>1.需提供软件的技术支持维护，包括：数据维护、数据修复、数据统计、系统纠错、漏洞排查、日常客户化等。</w:t>
            </w:r>
          </w:p>
          <w:p>
            <w:pPr>
              <w:pStyle w:val="null3"/>
              <w:ind w:firstLine="420"/>
              <w:jc w:val="both"/>
            </w:pPr>
            <w:r>
              <w:rPr>
                <w:rFonts w:ascii="仿宋_GB2312" w:hAnsi="仿宋_GB2312" w:cs="仿宋_GB2312" w:eastAsia="仿宋_GB2312"/>
                <w:sz w:val="21"/>
                <w:color w:val="000000"/>
              </w:rPr>
              <w:t>2.需提供软件的安装、调试和对采购人新进操作员进行培训，保证采购人指定操作员能独立上岗工作。</w:t>
            </w:r>
          </w:p>
          <w:p>
            <w:pPr>
              <w:pStyle w:val="null3"/>
              <w:ind w:firstLine="420"/>
              <w:jc w:val="both"/>
            </w:pPr>
            <w:r>
              <w:rPr>
                <w:rFonts w:ascii="仿宋_GB2312" w:hAnsi="仿宋_GB2312" w:cs="仿宋_GB2312" w:eastAsia="仿宋_GB2312"/>
                <w:sz w:val="21"/>
                <w:color w:val="000000"/>
              </w:rPr>
              <w:t>3.需提供常驻维保工程师3名，常驻人员资质要求：大学学历、PB开发经验5年以上、从事医疗行业3年以上，熟悉HIS系统和临床路径系统。</w:t>
            </w:r>
          </w:p>
          <w:p>
            <w:pPr>
              <w:pStyle w:val="null3"/>
              <w:ind w:firstLine="420"/>
              <w:jc w:val="both"/>
            </w:pPr>
            <w:r>
              <w:rPr>
                <w:rFonts w:ascii="仿宋_GB2312" w:hAnsi="仿宋_GB2312" w:cs="仿宋_GB2312" w:eastAsia="仿宋_GB2312"/>
                <w:sz w:val="21"/>
                <w:color w:val="000000"/>
              </w:rPr>
              <w:t>4.需提供维保服务过程的服务记录，若因供应商原因操作不当，对采购人造成损失的，采购人有权追究责任，并要求赔偿。</w:t>
            </w:r>
          </w:p>
          <w:p>
            <w:pPr>
              <w:pStyle w:val="null3"/>
              <w:ind w:firstLine="420"/>
              <w:jc w:val="both"/>
            </w:pPr>
            <w:r>
              <w:rPr>
                <w:rFonts w:ascii="仿宋_GB2312" w:hAnsi="仿宋_GB2312" w:cs="仿宋_GB2312" w:eastAsia="仿宋_GB2312"/>
                <w:sz w:val="21"/>
                <w:color w:val="000000"/>
              </w:rPr>
              <w:t>5.需提供因为软件本身问题（如BUG引起的问题、客户化后的程序测试不到位、数据异常）的维护服务。</w:t>
            </w:r>
          </w:p>
          <w:p>
            <w:pPr>
              <w:pStyle w:val="null3"/>
              <w:ind w:firstLine="420"/>
              <w:jc w:val="both"/>
            </w:pPr>
            <w:r>
              <w:rPr>
                <w:rFonts w:ascii="仿宋_GB2312" w:hAnsi="仿宋_GB2312" w:cs="仿宋_GB2312" w:eastAsia="仿宋_GB2312"/>
                <w:sz w:val="21"/>
                <w:color w:val="000000"/>
              </w:rPr>
              <w:t>6.需提供如采购人人员操作错误引起系统故障问题或数据出错的数据维护、数据修复。</w:t>
            </w:r>
          </w:p>
          <w:p>
            <w:pPr>
              <w:pStyle w:val="null3"/>
              <w:ind w:firstLine="420"/>
              <w:jc w:val="both"/>
            </w:pPr>
            <w:r>
              <w:rPr>
                <w:rFonts w:ascii="仿宋_GB2312" w:hAnsi="仿宋_GB2312" w:cs="仿宋_GB2312" w:eastAsia="仿宋_GB2312"/>
                <w:sz w:val="21"/>
                <w:color w:val="000000"/>
              </w:rPr>
              <w:t>7.需提供软件安全解决方案，帮助采购人尽量降低或避免因为外部因素造成的任何不利影响。</w:t>
            </w:r>
          </w:p>
          <w:p>
            <w:pPr>
              <w:pStyle w:val="null3"/>
              <w:ind w:firstLine="420"/>
              <w:jc w:val="both"/>
            </w:pPr>
            <w:r>
              <w:rPr>
                <w:rFonts w:ascii="仿宋_GB2312" w:hAnsi="仿宋_GB2312" w:cs="仿宋_GB2312" w:eastAsia="仿宋_GB2312"/>
                <w:sz w:val="21"/>
                <w:color w:val="000000"/>
              </w:rPr>
              <w:t>8.需要提供对电脑的操作系统不稳定、系统中毒、不按规定流程操作等问题的建议性方案、安全解决方案等，应积极配合问题的解决不得已推诿问题的方式解决所出现的问题。</w:t>
            </w:r>
          </w:p>
          <w:p>
            <w:pPr>
              <w:pStyle w:val="null3"/>
              <w:ind w:firstLine="420"/>
              <w:jc w:val="both"/>
            </w:pPr>
            <w:r>
              <w:rPr>
                <w:rFonts w:ascii="仿宋_GB2312" w:hAnsi="仿宋_GB2312" w:cs="仿宋_GB2312" w:eastAsia="仿宋_GB2312"/>
                <w:sz w:val="21"/>
                <w:color w:val="000000"/>
              </w:rPr>
              <w:t>9.需提供个性化修改服务，按实际情况确定工作量及工期，供应商、维保工程师不得对一般性、常规性个性化修改服务收费。</w:t>
            </w:r>
          </w:p>
          <w:p>
            <w:pPr>
              <w:pStyle w:val="null3"/>
              <w:ind w:firstLine="420"/>
              <w:jc w:val="both"/>
            </w:pPr>
            <w:r>
              <w:rPr>
                <w:rFonts w:ascii="仿宋_GB2312" w:hAnsi="仿宋_GB2312" w:cs="仿宋_GB2312" w:eastAsia="仿宋_GB2312"/>
                <w:sz w:val="21"/>
                <w:color w:val="000000"/>
              </w:rPr>
              <w:t>10.协助采购人进行临时性的数据检索工作，对于采购人有可能影响、涉及到HIS、临床路径的工作或项目应给于相关保障性配合（如临时停机、数据迁移等）。</w:t>
            </w:r>
          </w:p>
          <w:p>
            <w:pPr>
              <w:pStyle w:val="null3"/>
              <w:ind w:firstLine="420"/>
              <w:jc w:val="both"/>
            </w:pPr>
            <w:r>
              <w:rPr>
                <w:rFonts w:ascii="仿宋_GB2312" w:hAnsi="仿宋_GB2312" w:cs="仿宋_GB2312" w:eastAsia="仿宋_GB2312"/>
                <w:sz w:val="21"/>
                <w:color w:val="000000"/>
              </w:rPr>
              <w:t>11.对程序功能类操作修改和报表类修改需在三个工作日内完成，对程序新增功能和新添加报表需在五</w:t>
            </w:r>
            <w:r>
              <w:rPr>
                <w:rFonts w:ascii="仿宋_GB2312" w:hAnsi="仿宋_GB2312" w:cs="仿宋_GB2312" w:eastAsia="仿宋_GB2312"/>
                <w:sz w:val="21"/>
                <w:color w:val="000000"/>
              </w:rPr>
              <w:t>个工作日内完成，特殊问题需向采购人请示同意后方可特殊安排。</w:t>
            </w:r>
          </w:p>
          <w:p>
            <w:pPr>
              <w:pStyle w:val="null3"/>
              <w:ind w:firstLine="424"/>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对当前软件相关的已有各类接口变更及升</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需免费完成，并</w:t>
            </w:r>
            <w:r>
              <w:rPr>
                <w:rFonts w:ascii="仿宋_GB2312" w:hAnsi="仿宋_GB2312" w:cs="仿宋_GB2312" w:eastAsia="仿宋_GB2312"/>
                <w:sz w:val="21"/>
                <w:color w:val="000000"/>
              </w:rPr>
              <w:t>且</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免</w:t>
            </w:r>
            <w:r>
              <w:rPr>
                <w:rFonts w:ascii="仿宋_GB2312" w:hAnsi="仿宋_GB2312" w:cs="仿宋_GB2312" w:eastAsia="仿宋_GB2312"/>
                <w:sz w:val="21"/>
                <w:color w:val="000000"/>
              </w:rPr>
              <w:t>费向采购人开放所有数据结构。</w:t>
            </w:r>
          </w:p>
          <w:p>
            <w:pPr>
              <w:pStyle w:val="null3"/>
              <w:ind w:firstLine="420"/>
              <w:jc w:val="both"/>
            </w:pPr>
            <w:r>
              <w:rPr>
                <w:rFonts w:ascii="仿宋_GB2312" w:hAnsi="仿宋_GB2312" w:cs="仿宋_GB2312" w:eastAsia="仿宋_GB2312"/>
                <w:sz w:val="21"/>
                <w:color w:val="000000"/>
              </w:rPr>
              <w:t>13.维护期内若有新增系统子模块及数据接口需求，供应商不得以费用原由拒绝响应，需予以技术支持并安排相关开发工作，若供应商所投入工作量交大且获得采购人认可时，双方可另行协商增补费用事宜，但费用不得超出同类平均水平。完成的新增子系统和数据接口自动进入本维保范围。对国家政策强制性接口必须第一时间响应，不得无故拖延甚至影响医院的对应政策业务的开展，否则采购人有权追责。</w:t>
            </w:r>
          </w:p>
          <w:p>
            <w:pPr>
              <w:pStyle w:val="null3"/>
              <w:ind w:firstLine="420"/>
              <w:jc w:val="both"/>
            </w:pPr>
            <w:r>
              <w:rPr>
                <w:rFonts w:ascii="仿宋_GB2312" w:hAnsi="仿宋_GB2312" w:cs="仿宋_GB2312" w:eastAsia="仿宋_GB2312"/>
                <w:sz w:val="21"/>
                <w:color w:val="000000"/>
              </w:rPr>
              <w:t>14.维保期内，供应商必须确保项目经理定期巡检，每次巡检不少于10个业务科室。</w:t>
            </w:r>
          </w:p>
          <w:p>
            <w:pPr>
              <w:pStyle w:val="null3"/>
              <w:ind w:firstLine="420"/>
              <w:jc w:val="both"/>
            </w:pPr>
            <w:r>
              <w:rPr>
                <w:rFonts w:ascii="仿宋_GB2312" w:hAnsi="仿宋_GB2312" w:cs="仿宋_GB2312" w:eastAsia="仿宋_GB2312"/>
                <w:sz w:val="21"/>
                <w:color w:val="000000"/>
              </w:rPr>
              <w:t>15.维保期结束，供应商需要向医院提交已有系统软件运维年度总结报告。</w:t>
            </w:r>
          </w:p>
          <w:p>
            <w:pPr>
              <w:pStyle w:val="null3"/>
              <w:ind w:firstLine="420"/>
              <w:jc w:val="both"/>
            </w:pPr>
            <w:r>
              <w:rPr>
                <w:rFonts w:ascii="仿宋_GB2312" w:hAnsi="仿宋_GB2312" w:cs="仿宋_GB2312" w:eastAsia="仿宋_GB2312"/>
                <w:sz w:val="21"/>
                <w:color w:val="000000"/>
              </w:rPr>
              <w:t>（五）维保服务方式：</w:t>
            </w:r>
          </w:p>
          <w:p>
            <w:pPr>
              <w:pStyle w:val="null3"/>
              <w:ind w:firstLine="420"/>
              <w:jc w:val="both"/>
            </w:pPr>
            <w:r>
              <w:rPr>
                <w:rFonts w:ascii="仿宋_GB2312" w:hAnsi="仿宋_GB2312" w:cs="仿宋_GB2312" w:eastAsia="仿宋_GB2312"/>
                <w:sz w:val="21"/>
                <w:color w:val="000000"/>
              </w:rPr>
              <w:t>本采购服务方式采用驻场为主，电话和巡检服务为辅的方式。</w:t>
            </w:r>
          </w:p>
          <w:p>
            <w:pPr>
              <w:pStyle w:val="null3"/>
              <w:ind w:firstLine="420"/>
              <w:jc w:val="both"/>
            </w:pPr>
            <w:r>
              <w:rPr>
                <w:rFonts w:ascii="仿宋_GB2312" w:hAnsi="仿宋_GB2312" w:cs="仿宋_GB2312" w:eastAsia="仿宋_GB2312"/>
                <w:sz w:val="21"/>
                <w:color w:val="000000"/>
              </w:rPr>
              <w:t>1.驻场服务</w:t>
            </w:r>
          </w:p>
          <w:p>
            <w:pPr>
              <w:pStyle w:val="null3"/>
              <w:ind w:firstLine="424"/>
              <w:jc w:val="both"/>
            </w:pP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具有足够能力的维保工程师</w:t>
            </w:r>
            <w:r>
              <w:rPr>
                <w:rFonts w:ascii="仿宋_GB2312" w:hAnsi="仿宋_GB2312" w:cs="仿宋_GB2312" w:eastAsia="仿宋_GB2312"/>
                <w:sz w:val="21"/>
                <w:color w:val="000000"/>
              </w:rPr>
              <w:t>3</w:t>
            </w:r>
            <w:r>
              <w:rPr>
                <w:rFonts w:ascii="仿宋_GB2312" w:hAnsi="仿宋_GB2312" w:cs="仿宋_GB2312" w:eastAsia="仿宋_GB2312"/>
                <w:sz w:val="21"/>
                <w:color w:val="000000"/>
              </w:rPr>
              <w:t>人进行驻场服务</w:t>
            </w:r>
            <w:r>
              <w:rPr>
                <w:rFonts w:ascii="仿宋_GB2312" w:hAnsi="仿宋_GB2312" w:cs="仿宋_GB2312" w:eastAsia="仿宋_GB2312"/>
                <w:sz w:val="21"/>
                <w:color w:val="000000"/>
              </w:rPr>
              <w:t>，如</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需更换人员，需提前告知采购人并取得同意。若驻场人员无</w:t>
            </w:r>
            <w:r>
              <w:rPr>
                <w:rFonts w:ascii="仿宋_GB2312" w:hAnsi="仿宋_GB2312" w:cs="仿宋_GB2312" w:eastAsia="仿宋_GB2312"/>
                <w:sz w:val="21"/>
                <w:color w:val="000000"/>
              </w:rPr>
              <w:t>法满足采购人工作要求，采购人有权要求供应商更换人员。</w:t>
            </w:r>
          </w:p>
          <w:p>
            <w:pPr>
              <w:pStyle w:val="null3"/>
              <w:ind w:firstLine="420"/>
              <w:jc w:val="both"/>
            </w:pPr>
            <w:r>
              <w:rPr>
                <w:rFonts w:ascii="仿宋_GB2312" w:hAnsi="仿宋_GB2312" w:cs="仿宋_GB2312" w:eastAsia="仿宋_GB2312"/>
                <w:sz w:val="21"/>
                <w:color w:val="000000"/>
              </w:rPr>
              <w:t>驻场服务人员由采购人信息中心统一管理，管理内容包括：日常上下班时间、驻场期间工作纪律。驻场服务人员不得无故旷工，有特殊事项需向信息中心请假报备，否则视为无故旷工。</w:t>
            </w:r>
          </w:p>
          <w:p>
            <w:pPr>
              <w:pStyle w:val="null3"/>
              <w:ind w:firstLine="420"/>
              <w:jc w:val="both"/>
            </w:pPr>
            <w:r>
              <w:rPr>
                <w:rFonts w:ascii="仿宋_GB2312" w:hAnsi="仿宋_GB2312" w:cs="仿宋_GB2312" w:eastAsia="仿宋_GB2312"/>
                <w:sz w:val="21"/>
                <w:color w:val="000000"/>
              </w:rPr>
              <w:t>若遇到驻场人员无法解决的疑难问题，供应商需提供更高级别的人员到场予以处理。</w:t>
            </w:r>
          </w:p>
          <w:p>
            <w:pPr>
              <w:pStyle w:val="null3"/>
              <w:ind w:firstLine="420"/>
              <w:jc w:val="both"/>
            </w:pPr>
            <w:r>
              <w:rPr>
                <w:rFonts w:ascii="仿宋_GB2312" w:hAnsi="仿宋_GB2312" w:cs="仿宋_GB2312" w:eastAsia="仿宋_GB2312"/>
                <w:sz w:val="21"/>
                <w:color w:val="000000"/>
              </w:rPr>
              <w:t>2.电话服务</w:t>
            </w:r>
          </w:p>
          <w:p>
            <w:pPr>
              <w:pStyle w:val="null3"/>
              <w:ind w:firstLine="420"/>
              <w:jc w:val="both"/>
            </w:pPr>
            <w:r>
              <w:rPr>
                <w:rFonts w:ascii="仿宋_GB2312" w:hAnsi="仿宋_GB2312" w:cs="仿宋_GB2312" w:eastAsia="仿宋_GB2312"/>
                <w:sz w:val="21"/>
                <w:color w:val="000000"/>
              </w:rPr>
              <w:t>供应商需提供西安本地服务电话及技术负责人电话，便于采购人信息部门工作人员通过服务电话与技术人员进行技术咨询。</w:t>
            </w:r>
          </w:p>
          <w:p>
            <w:pPr>
              <w:pStyle w:val="null3"/>
              <w:ind w:firstLine="420"/>
              <w:jc w:val="both"/>
            </w:pPr>
            <w:r>
              <w:rPr>
                <w:rFonts w:ascii="仿宋_GB2312" w:hAnsi="仿宋_GB2312" w:cs="仿宋_GB2312" w:eastAsia="仿宋_GB2312"/>
                <w:sz w:val="21"/>
                <w:color w:val="000000"/>
              </w:rPr>
              <w:t>电话响应时间：日常问题需客户化部接到用户电话后，专人负责接听，做好记录，一般性问题</w:t>
            </w:r>
            <w:r>
              <w:rPr>
                <w:rFonts w:ascii="仿宋_GB2312" w:hAnsi="仿宋_GB2312" w:cs="仿宋_GB2312" w:eastAsia="仿宋_GB2312"/>
                <w:sz w:val="21"/>
                <w:color w:val="000000"/>
              </w:rPr>
              <w:t>1小时内反馈意见，2小时内解决问题，如遇复杂问题一个工作日内给出解决方案并及时解决。</w:t>
            </w:r>
          </w:p>
          <w:p>
            <w:pPr>
              <w:pStyle w:val="null3"/>
              <w:ind w:firstLine="420"/>
              <w:jc w:val="both"/>
            </w:pPr>
            <w:r>
              <w:rPr>
                <w:rFonts w:ascii="仿宋_GB2312" w:hAnsi="仿宋_GB2312" w:cs="仿宋_GB2312" w:eastAsia="仿宋_GB2312"/>
                <w:sz w:val="21"/>
                <w:color w:val="000000"/>
              </w:rPr>
              <w:t>3.定期巡检服务</w:t>
            </w:r>
          </w:p>
          <w:p>
            <w:pPr>
              <w:pStyle w:val="null3"/>
              <w:ind w:firstLine="420"/>
              <w:jc w:val="both"/>
            </w:pPr>
            <w:r>
              <w:rPr>
                <w:rFonts w:ascii="仿宋_GB2312" w:hAnsi="仿宋_GB2312" w:cs="仿宋_GB2312" w:eastAsia="仿宋_GB2312"/>
                <w:sz w:val="21"/>
                <w:color w:val="000000"/>
              </w:rPr>
              <w:t>供应商需定期与采购人沟通，了解软件、硬件和环境的运行状况，使系统处于最佳运行状态，需分电话巡检和上门巡检两种。上门巡检应保证最少每季度一次，随时监测采购人系统的运行状况，一方面预防故障的发生，另一方面对发生的各种问题及时做出响应。</w:t>
            </w:r>
          </w:p>
          <w:p>
            <w:pPr>
              <w:pStyle w:val="null3"/>
              <w:ind w:firstLine="420"/>
              <w:jc w:val="both"/>
            </w:pPr>
            <w:r>
              <w:rPr>
                <w:rFonts w:ascii="仿宋_GB2312" w:hAnsi="仿宋_GB2312" w:cs="仿宋_GB2312" w:eastAsia="仿宋_GB2312"/>
                <w:sz w:val="21"/>
                <w:color w:val="000000"/>
              </w:rPr>
              <w:t>本招标范围仅限</w:t>
            </w:r>
            <w:r>
              <w:rPr>
                <w:rFonts w:ascii="仿宋_GB2312" w:hAnsi="仿宋_GB2312" w:cs="仿宋_GB2312" w:eastAsia="仿宋_GB2312"/>
                <w:sz w:val="21"/>
                <w:color w:val="000000"/>
              </w:rPr>
              <w:t>HIS系统、临床路径系统、电子病历系统软件部分及已有HIS系统接口，详见附件《现有系统运行模块清单》。</w:t>
            </w:r>
          </w:p>
          <w:p>
            <w:pPr>
              <w:pStyle w:val="null3"/>
              <w:ind w:firstLine="420"/>
              <w:jc w:val="both"/>
            </w:pPr>
            <w:r>
              <w:rPr>
                <w:rFonts w:ascii="仿宋_GB2312" w:hAnsi="仿宋_GB2312" w:cs="仿宋_GB2312" w:eastAsia="仿宋_GB2312"/>
                <w:sz w:val="21"/>
                <w:color w:val="000000"/>
              </w:rPr>
              <w:t>附：现有系统模块清单</w:t>
            </w:r>
          </w:p>
          <w:tbl>
            <w:tblPr>
              <w:tblBorders>
                <w:top w:val="none" w:color="000000" w:sz="4"/>
                <w:left w:val="none" w:color="000000" w:sz="4"/>
                <w:bottom w:val="none" w:color="000000" w:sz="4"/>
                <w:right w:val="none" w:color="000000" w:sz="4"/>
                <w:insideH w:val="none"/>
                <w:insideV w:val="none"/>
              </w:tblBorders>
            </w:tblPr>
            <w:tblGrid>
              <w:gridCol w:w="882"/>
              <w:gridCol w:w="1678"/>
              <w:gridCol w:w="624"/>
            </w:tblGrid>
            <w:tr>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分系统名称</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6"/>
                    <w:jc w:val="center"/>
                  </w:pPr>
                  <w:r>
                    <w:rPr>
                      <w:rFonts w:ascii="仿宋_GB2312" w:hAnsi="仿宋_GB2312" w:cs="仿宋_GB2312" w:eastAsia="仿宋_GB2312"/>
                      <w:sz w:val="21"/>
                      <w:color w:val="000000"/>
                    </w:rPr>
                    <w:t>系统功能</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数量（套）</w:t>
                  </w: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一卡通管理系统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门诊持卡就医</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卡管理</w:t>
                  </w:r>
                </w:p>
              </w:tc>
              <w:tc>
                <w:tcPr>
                  <w:tcW w:type="dxa" w:w="624"/>
                  <w:vMerge/>
                  <w:tcBorders>
                    <w:top w:val="none" w:color="000000" w:sz="4"/>
                    <w:left w:val="none" w:color="000000" w:sz="4"/>
                    <w:bottom w:val="single" w:color="000000" w:sz="4"/>
                    <w:right w:val="single" w:color="000000" w:sz="4"/>
                  </w:tcBorders>
                </w:tcP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门急诊系统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门诊医生工作站</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分诊挂号</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身份登记</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门诊收费划价</w:t>
                  </w:r>
                </w:p>
              </w:tc>
              <w:tc>
                <w:tcPr>
                  <w:tcW w:type="dxa" w:w="624"/>
                  <w:vMerge/>
                  <w:tcBorders>
                    <w:top w:val="none" w:color="000000" w:sz="4"/>
                    <w:left w:val="none" w:color="000000" w:sz="4"/>
                    <w:bottom w:val="single" w:color="000000" w:sz="4"/>
                    <w:right w:val="single" w:color="000000" w:sz="4"/>
                  </w:tcBorders>
                </w:tcP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病案系统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病案编目</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病案流通</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病案质控</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病案统计</w:t>
                  </w:r>
                </w:p>
              </w:tc>
              <w:tc>
                <w:tcPr>
                  <w:tcW w:type="dxa" w:w="624"/>
                  <w:vMerge/>
                  <w:tcBorders>
                    <w:top w:val="none" w:color="000000" w:sz="4"/>
                    <w:left w:val="none" w:color="000000" w:sz="4"/>
                    <w:bottom w:val="single" w:color="000000" w:sz="4"/>
                    <w:right w:val="single" w:color="000000" w:sz="4"/>
                  </w:tcBorders>
                </w:tcP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药品系统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药库管理</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门诊药房管理</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门诊处方管理系统</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住院药房管理</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住院处方管理系统</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摆药机接口</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医嘱摆药</w:t>
                  </w:r>
                </w:p>
              </w:tc>
              <w:tc>
                <w:tcPr>
                  <w:tcW w:type="dxa" w:w="624"/>
                  <w:vMerge/>
                  <w:tcBorders>
                    <w:top w:val="none" w:color="000000" w:sz="4"/>
                    <w:left w:val="none" w:color="000000" w:sz="4"/>
                    <w:bottom w:val="single" w:color="000000" w:sz="4"/>
                    <w:right w:val="single" w:color="000000" w:sz="4"/>
                  </w:tcBorders>
                </w:tcP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卫生经济系统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住院收费管理</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收费管理</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科室查询系统</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医技计价录入及报表</w:t>
                  </w:r>
                </w:p>
              </w:tc>
              <w:tc>
                <w:tcPr>
                  <w:tcW w:type="dxa" w:w="624"/>
                  <w:vMerge/>
                  <w:tcBorders>
                    <w:top w:val="none" w:color="000000" w:sz="4"/>
                    <w:left w:val="none" w:color="000000" w:sz="4"/>
                    <w:bottom w:val="single" w:color="000000" w:sz="4"/>
                    <w:right w:val="single" w:color="000000" w:sz="4"/>
                  </w:tcBorders>
                </w:tcP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院长查询系统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临床医疗信息查询</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医疗收入查询</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药品管理查询</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医保信息查询、综合查询</w:t>
                  </w:r>
                </w:p>
              </w:tc>
              <w:tc>
                <w:tcPr>
                  <w:tcW w:type="dxa" w:w="624"/>
                  <w:vMerge/>
                  <w:tcBorders>
                    <w:top w:val="none" w:color="000000" w:sz="4"/>
                    <w:left w:val="none" w:color="000000" w:sz="4"/>
                    <w:bottom w:val="single" w:color="000000" w:sz="4"/>
                    <w:right w:val="single" w:color="000000" w:sz="4"/>
                  </w:tcBorders>
                </w:tcP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手术预约划价系统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手术预约登记</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手术麻醉划价</w:t>
                  </w:r>
                </w:p>
              </w:tc>
              <w:tc>
                <w:tcPr>
                  <w:tcW w:type="dxa" w:w="624"/>
                  <w:vMerge/>
                  <w:tcBorders>
                    <w:top w:val="none" w:color="000000" w:sz="4"/>
                    <w:left w:val="none" w:color="000000" w:sz="4"/>
                    <w:bottom w:val="single" w:color="000000" w:sz="4"/>
                    <w:right w:val="single" w:color="000000" w:sz="4"/>
                  </w:tcBorders>
                </w:tcP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住院医生工作站</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住院预约登记</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住院护士工作站、护理病历、护理工作量、住院医生站</w:t>
                  </w:r>
                </w:p>
                <w:p>
                  <w:pPr>
                    <w:pStyle w:val="null3"/>
                    <w:jc w:val="center"/>
                  </w:pPr>
                  <w:r>
                    <w:rPr>
                      <w:rFonts w:ascii="仿宋_GB2312" w:hAnsi="仿宋_GB2312" w:cs="仿宋_GB2312" w:eastAsia="仿宋_GB2312"/>
                      <w:sz w:val="21"/>
                      <w:color w:val="000000"/>
                    </w:rPr>
                    <w:t>工作量统计</w:t>
                  </w:r>
                </w:p>
              </w:tc>
              <w:tc>
                <w:tcPr>
                  <w:tcW w:type="dxa" w:w="624"/>
                  <w:vMerge/>
                  <w:tcBorders>
                    <w:top w:val="none" w:color="000000" w:sz="4"/>
                    <w:left w:val="none" w:color="000000" w:sz="4"/>
                    <w:bottom w:val="single" w:color="000000" w:sz="4"/>
                    <w:right w:val="single" w:color="000000" w:sz="4"/>
                  </w:tcBorders>
                </w:tc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电子病历系统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门诊、住院电子病历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医保系统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各医保接口</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临床路径系统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临床路径工作站</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HQMS系统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HQMS工作站</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检查预约划价、检验系统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检查预约、</w:t>
                  </w:r>
                  <w:r>
                    <w:rPr>
                      <w:rFonts w:ascii="仿宋_GB2312" w:hAnsi="仿宋_GB2312" w:cs="仿宋_GB2312" w:eastAsia="仿宋_GB2312"/>
                      <w:sz w:val="21"/>
                      <w:color w:val="000000"/>
                    </w:rPr>
                    <w:t>LIS系统</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检查划价</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检查报告</w:t>
                  </w:r>
                </w:p>
              </w:tc>
              <w:tc>
                <w:tcPr>
                  <w:tcW w:type="dxa" w:w="624"/>
                  <w:vMerge/>
                  <w:tcBorders>
                    <w:top w:val="none" w:color="000000" w:sz="4"/>
                    <w:left w:val="none" w:color="000000" w:sz="4"/>
                    <w:bottom w:val="single" w:color="000000" w:sz="4"/>
                    <w:right w:val="single" w:color="000000" w:sz="4"/>
                  </w:tcBorders>
                </w:tcP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后台管理系统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后台划价、自动结账、门诊日结</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调价盈亏后台服务、电子病历</w:t>
                  </w:r>
                </w:p>
              </w:tc>
              <w:tc>
                <w:tcPr>
                  <w:tcW w:type="dxa" w:w="624"/>
                  <w:vMerge/>
                  <w:tcBorders>
                    <w:top w:val="none" w:color="000000" w:sz="4"/>
                    <w:left w:val="none" w:color="000000" w:sz="4"/>
                    <w:bottom w:val="single" w:color="000000" w:sz="4"/>
                    <w:right w:val="single" w:color="000000" w:sz="4"/>
                  </w:tcBorders>
                </w:tcPr>
                <w:p/>
              </w:tc>
            </w:tr>
            <w:tr>
              <w:tc>
                <w:tcPr>
                  <w:tcW w:type="dxa" w:w="8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支持维护系统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用户管理、消耗品管理</w:t>
                  </w:r>
                </w:p>
              </w:tc>
              <w:tc>
                <w:tcPr>
                  <w:tcW w:type="dxa" w:w="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价表管理、固定资产管理</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字典管理</w:t>
                  </w:r>
                </w:p>
              </w:tc>
              <w:tc>
                <w:tcPr>
                  <w:tcW w:type="dxa" w:w="624"/>
                  <w:vMerge/>
                  <w:tcBorders>
                    <w:top w:val="none" w:color="000000" w:sz="4"/>
                    <w:left w:val="none" w:color="000000" w:sz="4"/>
                    <w:bottom w:val="single" w:color="000000" w:sz="4"/>
                    <w:right w:val="single" w:color="000000" w:sz="4"/>
                  </w:tcBorders>
                </w:tcPr>
                <w:p/>
              </w:tc>
            </w:tr>
            <w:tr>
              <w:tc>
                <w:tcPr>
                  <w:tcW w:type="dxa" w:w="882"/>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后台数据安装</w:t>
                  </w:r>
                </w:p>
              </w:tc>
              <w:tc>
                <w:tcPr>
                  <w:tcW w:type="dxa" w:w="624"/>
                  <w:vMerge/>
                  <w:tcBorders>
                    <w:top w:val="none" w:color="000000" w:sz="4"/>
                    <w:left w:val="none" w:color="000000" w:sz="4"/>
                    <w:bottom w:val="single" w:color="000000" w:sz="4"/>
                    <w:right w:val="single" w:color="000000" w:sz="4"/>
                  </w:tcBorders>
                </w:tc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35"/>
                    <w:jc w:val="center"/>
                  </w:pPr>
                  <w:r>
                    <w:rPr>
                      <w:rFonts w:ascii="仿宋_GB2312" w:hAnsi="仿宋_GB2312" w:cs="仿宋_GB2312" w:eastAsia="仿宋_GB2312"/>
                      <w:sz w:val="21"/>
                      <w:color w:val="000000"/>
                    </w:rPr>
                    <w:t>集成平台</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与集成平台接口等</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合同签订后，所维护系统软件正常使用运行6个月后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所维护系统软件正常使用运行12个月后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本合同在履行过程中发生的争议，由甲、乙双方当事人协商解决，协商不成的按下列第（二）种方式解决：（一）提交西安仲裁委员会仲裁；（二）依法向甲方所在地人民法院起诉。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中华人民共和国境内注册，能够独立承担民事责任的法人、其他组织或自然人</w:t>
            </w:r>
          </w:p>
        </w:tc>
        <w:tc>
          <w:tcPr>
            <w:tcW w:type="dxa" w:w="3322"/>
          </w:tcPr>
          <w:p>
            <w:pPr>
              <w:pStyle w:val="null3"/>
            </w:pPr>
            <w:r>
              <w:rPr>
                <w:rFonts w:ascii="仿宋_GB2312" w:hAnsi="仿宋_GB2312" w:cs="仿宋_GB2312" w:eastAsia="仿宋_GB2312"/>
              </w:rPr>
              <w:t>提供营业执照或其他组织经营的合法凭证或自然人的提供身份证明文件；</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非法定代表人参加投标的，须提供法定代表人委托授权书及被授权人近三个月内任意一个月在本单位的社会保障资金的缴纳证明，法定代表人参加投标时,只需提供法定代表人身份证；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完整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在参加本次政府采购活动前3年内的经营活动没有重大违法记录的书面声明；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一、针对本项目提供具体可行的服务质量方案，包括但不限于①采购需求响应②运维服务体系③服务保障方案④服务人员投入⑤服务管理及安全质量保证。并按照以下标准评审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三、赋分标准(满分30分) ①采购需求响应：每满足一个评审标准得2分，不满足得0分，满分6分； ②运维服务体系：每满足一个评审标准得2分，不满足得0分，满分6分； ③服务保障方案：每满足一个评审标准得2分，不满足得0分，满分6分； ④服务人员投入：每满足一个评审标准得2分，不满足得0分，满分6分； ⑤服务管理及安全质量保证：每满足一个评审标准得2分，不满足得0分，满分6分；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一、供应商针对本项目提供详细培训方案，包括但不限于①应急响应预案②响应时间③应急维护安排；并按以下标准评审：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①应急响应预：每满足一个评审标准得1分，不满足得0分，满分3分； ②响应时间：每满足一个评审标准得1分，不满足得0分，满分3分； ③应急维护安排：每满足一个评审标准得1分，不满足得0分，满分3分；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一、供应商针对本项目提供详细培训方案，包括但不限于①培训方式②培训周期③培训范围及内容；并按以下标准评审：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①培训方式：每满足一个评审标准得1分，不满足得0分，满分3分； ②培训周期：每满足一个评审标准得1分，不满足得0分，满分3分； ③培训范围及内容：每满足一个评审标准得1分，不满足得0分，满分3分；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评标委员会根据各供应商针对本项目的合理化建议，从积极意义、可行性、合理性等方面进行赋分； （1）提供有利于采购人和项目实施的合理化建议，内容具有科学合理，对项目实施有积极意义的计6分； （2）提供有利于采购人和项目实施的合理化建议，内容具有可操作性，保障项目实施的计4分； （3）建议比较合理，基本符合项目基本需求的计2分； （4）建议不合理，难以保障项目基本需求的计1分；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供应商针对项目安全保密职责提供具体的保密措施，由评标委员会进行综合评审： （1）保密措施内容详细完整，且利于项目实施的得6分； （2）保密措施内容满足本项目需求，合理且不影响项目实施的得4分； （3）保密措施内容有欠缺，影响到项目实施的得2分；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供应商提供自2022年1月1日以来（以合同签订时间为准）类似项目业绩，每提供1份合同得2分，最高得10分。注：以合同复印件加盖公章为准。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采购文件要求且最后磋商价格最低的报价为磋商基准价，其价格分为满分。其他供应商的价格分按照下列公式计算：磋商报价得分＝（磋商基准价/磋商报价）×30。小数点后保留2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