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版本号：HRPDZB2026-00320260121001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西安市文艺志愿者小分队演出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HRPDZB2026-003</w:t>
      </w:r>
      <w:r>
        <w:br/>
      </w:r>
      <w:r>
        <w:br/>
      </w:r>
      <w:r>
        <w:br/>
      </w:r>
    </w:p>
    <w:p>
      <w:pPr>
        <w:pStyle w:val="null3"/>
        <w:jc w:val="center"/>
        <w:outlineLvl w:val="2"/>
      </w:pPr>
      <w:r>
        <w:rPr>
          <w:rFonts w:ascii="仿宋_GB2312" w:hAnsi="仿宋_GB2312" w:cs="仿宋_GB2312" w:eastAsia="仿宋_GB2312"/>
          <w:sz w:val="28"/>
          <w:b/>
        </w:rPr>
        <w:t>西安市群众艺术馆</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西安市群众艺术馆</w:t>
      </w:r>
      <w:r>
        <w:rPr>
          <w:rFonts w:ascii="仿宋_GB2312" w:hAnsi="仿宋_GB2312" w:cs="仿宋_GB2312" w:eastAsia="仿宋_GB2312"/>
        </w:rPr>
        <w:t>委托，拟对</w:t>
      </w:r>
      <w:r>
        <w:rPr>
          <w:rFonts w:ascii="仿宋_GB2312" w:hAnsi="仿宋_GB2312" w:cs="仿宋_GB2312" w:eastAsia="仿宋_GB2312"/>
        </w:rPr>
        <w:t>西安市文艺志愿者小分队演出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HRPDZB2026-003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西安市文艺志愿者小分队演出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本项目为了不断满足广大人民群众的精神文化需求、不断提升人民群众的获得感、幸福感，由西安市文化和旅游局主办、西安市群众艺术馆承办2026西安市文艺志愿者小分队走基层巡演活动。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采购包1（西安市文艺志愿者小分队演出）：属于专门面向中小企业采购。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或授权书：法定代表人直接投标须提交其身份证，法定代表人授权代表参加投标的，须出具授权书及被授权人身份证，供应商需在项目电子化交易系统中按要求上传相应证明文件并进行电子签章；</w:t>
      </w:r>
    </w:p>
    <w:p>
      <w:pPr>
        <w:pStyle w:val="null3"/>
      </w:pPr>
      <w:r>
        <w:rPr>
          <w:rFonts w:ascii="仿宋_GB2312" w:hAnsi="仿宋_GB2312" w:cs="仿宋_GB2312" w:eastAsia="仿宋_GB2312"/>
        </w:rPr>
        <w:t>3、财务状况报告：须提供近3年任意一年度的财务报表或具有财务审计资质的单位出具的财务报告（至少包括资产负债表和利润表，成立时间至提交投标文件截止时间不足一年的可提供成立后任意时段的资产负债表），或在磋商截止时间前三个月内其开户银行出具的资信证明（附开户许可证或基本账户存款信息）；</w:t>
      </w:r>
    </w:p>
    <w:p>
      <w:pPr>
        <w:pStyle w:val="null3"/>
      </w:pPr>
      <w:r>
        <w:rPr>
          <w:rFonts w:ascii="仿宋_GB2312" w:hAnsi="仿宋_GB2312" w:cs="仿宋_GB2312" w:eastAsia="仿宋_GB2312"/>
        </w:rPr>
        <w:t>4、税收缴纳证明：供应商须提供磋商截止时间前12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磋商截止时间前12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6、信誉：供应商应具备良好的商业信誉，提供参加政府采购活动前3年内在经营活动中没有重大违法记录的书面声明，供应商需在项目电子化交易系统中按要求上传相应证明文件并进行电子签章；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信用：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日网上查询结果为评审依据）；</w:t>
      </w:r>
    </w:p>
    <w:p>
      <w:pPr>
        <w:pStyle w:val="null3"/>
      </w:pPr>
      <w:r>
        <w:rPr>
          <w:rFonts w:ascii="仿宋_GB2312" w:hAnsi="仿宋_GB2312" w:cs="仿宋_GB2312" w:eastAsia="仿宋_GB2312"/>
        </w:rPr>
        <w:t>8、履约能力：供应商应具有履行合同所必需的设备和专业技术能力，提供承诺函，供应商需在项目电子化交易系统中按要求上传相应证明文件并进行电子签章；</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10、非联合体：本项目不接受联合体响应。供应商需在项目电子化交易系统中按要求上传相应证明文件并进行电子签章；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西安市群众艺术馆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西安市文艺北路197号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西安市群众艺术馆经办刘振国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15353709128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郝田竟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17309235770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代理服务费收费标准：（1）本项目招标代理服务费由成交供应商支付； （2）代理服务费收费标准：参照《招标代理服务收费管理暂行办法》(计价格(2002)1980号)文规定收取。 （3）支付标准:按服务招标标准。 （4）采购代理服务费支付币种为人民币。 （5）单位名称：宏睿鹏达项目管理有限公司 （6）开户银行：招商银行西安西影路支行 （7）账号：129915887510505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西安市群众艺术馆</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西安市群众艺术馆</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西安市群众艺术馆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联系人：郝田竟</w:t>
      </w:r>
    </w:p>
    <w:p>
      <w:pPr>
        <w:pStyle w:val="null3"/>
      </w:pPr>
      <w:r>
        <w:rPr>
          <w:rFonts w:ascii="仿宋_GB2312" w:hAnsi="仿宋_GB2312" w:cs="仿宋_GB2312" w:eastAsia="仿宋_GB2312"/>
        </w:rPr>
        <w:t>联系电话：17309235770</w:t>
      </w:r>
    </w:p>
    <w:p>
      <w:pPr>
        <w:pStyle w:val="null3"/>
      </w:pPr>
      <w:r>
        <w:rPr>
          <w:rFonts w:ascii="仿宋_GB2312" w:hAnsi="仿宋_GB2312" w:cs="仿宋_GB2312" w:eastAsia="仿宋_GB2312"/>
        </w:rPr>
        <w:t>地址：陕西省西安市雁塔区雁翔路99号博源科技广场C座西交一九八六孵化器2046号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本项目为了不断满足广大人民群众的精神文化需求、不断提升人民群众的获得感、幸福感，由西安市文化和旅游局主办、西安市群众艺术馆承办2026西安市文艺志愿者小分队走基层巡演活动。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西安市文艺志愿者小分队演出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标的名称：西安市文艺志愿者小分队演出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1"/>
                <w:b/>
                <w:color w:val="000000"/>
              </w:rPr>
              <w:t>为丰富群众文化生活，加强群众精神文明建设，提高群众审美修养和人文素养、</w:t>
            </w:r>
            <w:r>
              <w:rPr>
                <w:rFonts w:ascii="仿宋_GB2312" w:hAnsi="仿宋_GB2312" w:cs="仿宋_GB2312" w:eastAsia="仿宋_GB2312"/>
                <w:sz w:val="21"/>
                <w:b/>
                <w:color w:val="000000"/>
              </w:rPr>
              <w:t>2026年在市文旅局的正确领导下，为了不断满足广大人民群众的精神文化需求、不断提升人民群众的获得感、幸福感，由西安市文化和旅游局主办、西安市群众艺术馆承办的2026西安市文艺志愿者小分队走基层巡演活动，将在3月份——11月开展宣传演出活动，为广大群众带来一场丰盛的文化大餐。</w:t>
            </w:r>
          </w:p>
          <w:p>
            <w:pPr>
              <w:pStyle w:val="null3"/>
              <w:ind w:firstLine="420"/>
              <w:jc w:val="left"/>
            </w:pPr>
            <w:r>
              <w:rPr>
                <w:rFonts w:ascii="仿宋_GB2312" w:hAnsi="仿宋_GB2312" w:cs="仿宋_GB2312" w:eastAsia="仿宋_GB2312"/>
                <w:sz w:val="21"/>
                <w:color w:val="000000"/>
              </w:rPr>
              <w:t>一、活动时间及场次：</w:t>
            </w:r>
          </w:p>
          <w:p>
            <w:pPr>
              <w:pStyle w:val="null3"/>
              <w:ind w:firstLine="420"/>
              <w:jc w:val="left"/>
            </w:pPr>
            <w:r>
              <w:rPr>
                <w:rFonts w:ascii="仿宋_GB2312" w:hAnsi="仿宋_GB2312" w:cs="仿宋_GB2312" w:eastAsia="仿宋_GB2312"/>
                <w:sz w:val="21"/>
                <w:color w:val="000000"/>
              </w:rPr>
              <w:t>本活</w:t>
            </w:r>
            <w:r>
              <w:rPr>
                <w:rFonts w:ascii="仿宋_GB2312" w:hAnsi="仿宋_GB2312" w:cs="仿宋_GB2312" w:eastAsia="仿宋_GB2312"/>
                <w:sz w:val="21"/>
                <w:color w:val="000000"/>
              </w:rPr>
              <w:t>动于</w:t>
            </w:r>
            <w:r>
              <w:rPr>
                <w:rFonts w:ascii="仿宋_GB2312" w:hAnsi="仿宋_GB2312" w:cs="仿宋_GB2312" w:eastAsia="仿宋_GB2312"/>
                <w:sz w:val="21"/>
                <w:color w:val="000000"/>
              </w:rPr>
              <w:t>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3</w:t>
            </w:r>
            <w:r>
              <w:rPr>
                <w:rFonts w:ascii="仿宋_GB2312" w:hAnsi="仿宋_GB2312" w:cs="仿宋_GB2312" w:eastAsia="仿宋_GB2312"/>
                <w:sz w:val="21"/>
                <w:color w:val="000000"/>
              </w:rPr>
              <w:t>月一</w:t>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月，共</w:t>
            </w:r>
            <w:r>
              <w:rPr>
                <w:rFonts w:ascii="仿宋_GB2312" w:hAnsi="仿宋_GB2312" w:cs="仿宋_GB2312" w:eastAsia="仿宋_GB2312"/>
                <w:sz w:val="21"/>
                <w:color w:val="000000"/>
              </w:rPr>
              <w:t>2</w:t>
            </w:r>
            <w:r>
              <w:rPr>
                <w:rFonts w:ascii="仿宋_GB2312" w:hAnsi="仿宋_GB2312" w:cs="仿宋_GB2312" w:eastAsia="仿宋_GB2312"/>
                <w:sz w:val="21"/>
                <w:color w:val="000000"/>
              </w:rPr>
              <w:t>5场</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、活动地点：</w:t>
            </w:r>
          </w:p>
          <w:p>
            <w:pPr>
              <w:pStyle w:val="null3"/>
              <w:ind w:firstLine="420"/>
              <w:jc w:val="left"/>
            </w:pPr>
            <w:r>
              <w:rPr>
                <w:rFonts w:ascii="仿宋_GB2312" w:hAnsi="仿宋_GB2312" w:cs="仿宋_GB2312" w:eastAsia="仿宋_GB2312"/>
                <w:sz w:val="21"/>
                <w:color w:val="000000"/>
              </w:rPr>
              <w:t>十三区县及各开发区、</w:t>
            </w:r>
            <w:r>
              <w:rPr>
                <w:rFonts w:ascii="仿宋_GB2312" w:hAnsi="仿宋_GB2312" w:cs="仿宋_GB2312" w:eastAsia="仿宋_GB2312"/>
                <w:sz w:val="21"/>
                <w:color w:val="000000"/>
              </w:rPr>
              <w:t>企业</w:t>
            </w:r>
            <w:r>
              <w:rPr>
                <w:rFonts w:ascii="仿宋_GB2312" w:hAnsi="仿宋_GB2312" w:cs="仿宋_GB2312" w:eastAsia="仿宋_GB2312"/>
                <w:sz w:val="21"/>
                <w:color w:val="000000"/>
              </w:rPr>
              <w:t>、</w:t>
            </w:r>
            <w:r>
              <w:rPr>
                <w:rFonts w:ascii="仿宋_GB2312" w:hAnsi="仿宋_GB2312" w:cs="仿宋_GB2312" w:eastAsia="仿宋_GB2312"/>
                <w:sz w:val="21"/>
                <w:color w:val="000000"/>
              </w:rPr>
              <w:t>学校</w:t>
            </w:r>
            <w:r>
              <w:rPr>
                <w:rFonts w:ascii="仿宋_GB2312" w:hAnsi="仿宋_GB2312" w:cs="仿宋_GB2312" w:eastAsia="仿宋_GB2312"/>
                <w:sz w:val="21"/>
                <w:color w:val="000000"/>
              </w:rPr>
              <w:t>、</w:t>
            </w:r>
            <w:r>
              <w:rPr>
                <w:rFonts w:ascii="仿宋_GB2312" w:hAnsi="仿宋_GB2312" w:cs="仿宋_GB2312" w:eastAsia="仿宋_GB2312"/>
                <w:sz w:val="21"/>
                <w:color w:val="000000"/>
              </w:rPr>
              <w:t>部队</w:t>
            </w:r>
            <w:r>
              <w:rPr>
                <w:rFonts w:ascii="仿宋_GB2312" w:hAnsi="仿宋_GB2312" w:cs="仿宋_GB2312" w:eastAsia="仿宋_GB2312"/>
                <w:sz w:val="21"/>
                <w:color w:val="000000"/>
              </w:rPr>
              <w:t>、</w:t>
            </w:r>
            <w:r>
              <w:rPr>
                <w:rFonts w:ascii="仿宋_GB2312" w:hAnsi="仿宋_GB2312" w:cs="仿宋_GB2312" w:eastAsia="仿宋_GB2312"/>
                <w:sz w:val="21"/>
                <w:color w:val="000000"/>
              </w:rPr>
              <w:t>医院等</w:t>
            </w:r>
          </w:p>
          <w:p>
            <w:pPr>
              <w:pStyle w:val="null3"/>
              <w:ind w:firstLine="420"/>
              <w:jc w:val="left"/>
            </w:pPr>
            <w:r>
              <w:rPr>
                <w:rFonts w:ascii="仿宋_GB2312" w:hAnsi="仿宋_GB2312" w:cs="仿宋_GB2312" w:eastAsia="仿宋_GB2312"/>
                <w:sz w:val="21"/>
                <w:color w:val="000000"/>
              </w:rPr>
              <w:t>三、组织机构：</w:t>
            </w:r>
          </w:p>
          <w:p>
            <w:pPr>
              <w:pStyle w:val="null3"/>
              <w:ind w:firstLine="420"/>
              <w:jc w:val="left"/>
            </w:pPr>
            <w:r>
              <w:rPr>
                <w:rFonts w:ascii="仿宋_GB2312" w:hAnsi="仿宋_GB2312" w:cs="仿宋_GB2312" w:eastAsia="仿宋_GB2312"/>
                <w:sz w:val="21"/>
                <w:color w:val="000000"/>
              </w:rPr>
              <w:t>主办单位：西安市文化和旅游局</w:t>
            </w:r>
          </w:p>
          <w:p>
            <w:pPr>
              <w:pStyle w:val="null3"/>
              <w:ind w:firstLine="420"/>
              <w:jc w:val="left"/>
            </w:pPr>
            <w:r>
              <w:rPr>
                <w:rFonts w:ascii="仿宋_GB2312" w:hAnsi="仿宋_GB2312" w:cs="仿宋_GB2312" w:eastAsia="仿宋_GB2312"/>
                <w:sz w:val="21"/>
                <w:color w:val="000000"/>
              </w:rPr>
              <w:t>承办单位：西安市群众艺术馆</w:t>
            </w:r>
          </w:p>
          <w:p>
            <w:pPr>
              <w:pStyle w:val="null3"/>
              <w:ind w:firstLine="420"/>
              <w:jc w:val="left"/>
            </w:pPr>
            <w:r>
              <w:rPr>
                <w:rFonts w:ascii="仿宋_GB2312" w:hAnsi="仿宋_GB2312" w:cs="仿宋_GB2312" w:eastAsia="仿宋_GB2312"/>
                <w:sz w:val="21"/>
                <w:color w:val="000000"/>
              </w:rPr>
              <w:t>四、活动内容：</w:t>
            </w:r>
          </w:p>
          <w:p>
            <w:pPr>
              <w:pStyle w:val="null3"/>
              <w:ind w:firstLine="420"/>
              <w:jc w:val="left"/>
            </w:pPr>
            <w:r>
              <w:rPr>
                <w:rFonts w:ascii="仿宋_GB2312" w:hAnsi="仿宋_GB2312" w:cs="仿宋_GB2312" w:eastAsia="仿宋_GB2312"/>
                <w:sz w:val="21"/>
                <w:color w:val="000000"/>
              </w:rPr>
              <w:t>组织一台丰富多彩的综艺节目，内容包括相声、杂技、独唱、魔术、舞蹈等进行宣传演出。</w:t>
            </w:r>
          </w:p>
          <w:p>
            <w:pPr>
              <w:pStyle w:val="null3"/>
              <w:ind w:firstLine="420"/>
              <w:jc w:val="left"/>
            </w:pPr>
            <w:r>
              <w:rPr>
                <w:rFonts w:ascii="仿宋_GB2312" w:hAnsi="仿宋_GB2312" w:cs="仿宋_GB2312" w:eastAsia="仿宋_GB2312"/>
                <w:sz w:val="21"/>
                <w:color w:val="000000"/>
              </w:rPr>
              <w:t>五</w:t>
            </w:r>
            <w:r>
              <w:rPr>
                <w:rFonts w:ascii="仿宋_GB2312" w:hAnsi="仿宋_GB2312" w:cs="仿宋_GB2312" w:eastAsia="仿宋_GB2312"/>
                <w:sz w:val="21"/>
                <w:color w:val="000000"/>
              </w:rPr>
              <w:t>、活动人数：</w:t>
            </w:r>
          </w:p>
          <w:p>
            <w:pPr>
              <w:pStyle w:val="null3"/>
              <w:ind w:firstLine="420"/>
              <w:jc w:val="left"/>
            </w:pPr>
            <w:r>
              <w:rPr>
                <w:rFonts w:ascii="仿宋_GB2312" w:hAnsi="仿宋_GB2312" w:cs="仿宋_GB2312" w:eastAsia="仿宋_GB2312"/>
                <w:sz w:val="21"/>
                <w:color w:val="000000"/>
              </w:rPr>
              <w:t>演职人员</w:t>
            </w:r>
            <w:r>
              <w:rPr>
                <w:rFonts w:ascii="仿宋_GB2312" w:hAnsi="仿宋_GB2312" w:cs="仿宋_GB2312" w:eastAsia="仿宋_GB2312"/>
                <w:sz w:val="21"/>
                <w:color w:val="000000"/>
              </w:rPr>
              <w:t>30人</w:t>
            </w:r>
          </w:p>
          <w:p>
            <w:pPr>
              <w:pStyle w:val="null3"/>
              <w:ind w:firstLine="420"/>
              <w:jc w:val="left"/>
            </w:pPr>
            <w:r>
              <w:rPr>
                <w:rFonts w:ascii="仿宋_GB2312" w:hAnsi="仿宋_GB2312" w:cs="仿宋_GB2312" w:eastAsia="仿宋_GB2312"/>
                <w:sz w:val="21"/>
                <w:color w:val="000000"/>
              </w:rPr>
              <w:t>六</w:t>
            </w:r>
            <w:r>
              <w:rPr>
                <w:rFonts w:ascii="仿宋_GB2312" w:hAnsi="仿宋_GB2312" w:cs="仿宋_GB2312" w:eastAsia="仿宋_GB2312"/>
                <w:sz w:val="21"/>
                <w:color w:val="000000"/>
              </w:rPr>
              <w:t>、节目单：</w:t>
            </w:r>
          </w:p>
          <w:p>
            <w:pPr>
              <w:pStyle w:val="null3"/>
              <w:ind w:firstLine="420"/>
              <w:jc w:val="left"/>
            </w:pPr>
            <w:r>
              <w:rPr>
                <w:rFonts w:ascii="仿宋_GB2312" w:hAnsi="仿宋_GB2312" w:cs="仿宋_GB2312" w:eastAsia="仿宋_GB2312"/>
                <w:sz w:val="21"/>
              </w:rPr>
              <w:t>一、独唱《</w:t>
            </w:r>
            <w:r>
              <w:rPr>
                <w:rFonts w:ascii="仿宋_GB2312" w:hAnsi="仿宋_GB2312" w:cs="仿宋_GB2312" w:eastAsia="仿宋_GB2312"/>
                <w:sz w:val="21"/>
              </w:rPr>
              <w:t>幸福中国一起走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一杯美酒</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二、相声《</w:t>
            </w:r>
            <w:r>
              <w:rPr>
                <w:rFonts w:ascii="仿宋_GB2312" w:hAnsi="仿宋_GB2312" w:cs="仿宋_GB2312" w:eastAsia="仿宋_GB2312"/>
                <w:sz w:val="21"/>
              </w:rPr>
              <w:t>欢声笑语</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三、杂技《</w:t>
            </w:r>
            <w:r>
              <w:rPr>
                <w:rFonts w:ascii="仿宋_GB2312" w:hAnsi="仿宋_GB2312" w:cs="仿宋_GB2312" w:eastAsia="仿宋_GB2312"/>
                <w:sz w:val="21"/>
              </w:rPr>
              <w:t>快乐厨师</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四、独唱《风吹麦浪》</w:t>
            </w:r>
            <w:r>
              <w:rPr>
                <w:rFonts w:ascii="仿宋_GB2312" w:hAnsi="仿宋_GB2312" w:cs="仿宋_GB2312" w:eastAsia="仿宋_GB2312"/>
                <w:sz w:val="21"/>
              </w:rPr>
              <w:t>、</w:t>
            </w:r>
            <w:r>
              <w:rPr>
                <w:rFonts w:ascii="仿宋_GB2312" w:hAnsi="仿宋_GB2312" w:cs="仿宋_GB2312" w:eastAsia="仿宋_GB2312"/>
                <w:sz w:val="21"/>
              </w:rPr>
              <w:t>《朋友》</w:t>
            </w:r>
          </w:p>
          <w:p>
            <w:pPr>
              <w:pStyle w:val="null3"/>
              <w:ind w:firstLine="420"/>
              <w:jc w:val="left"/>
            </w:pPr>
            <w:r>
              <w:rPr>
                <w:rFonts w:ascii="仿宋_GB2312" w:hAnsi="仿宋_GB2312" w:cs="仿宋_GB2312" w:eastAsia="仿宋_GB2312"/>
                <w:sz w:val="21"/>
              </w:rPr>
              <w:t>五、</w:t>
            </w:r>
            <w:r>
              <w:rPr>
                <w:rFonts w:ascii="仿宋_GB2312" w:hAnsi="仿宋_GB2312" w:cs="仿宋_GB2312" w:eastAsia="仿宋_GB2312"/>
                <w:sz w:val="21"/>
              </w:rPr>
              <w:t>魔术</w:t>
            </w:r>
          </w:p>
          <w:p>
            <w:pPr>
              <w:pStyle w:val="null3"/>
              <w:ind w:firstLine="420"/>
              <w:jc w:val="left"/>
            </w:pPr>
            <w:r>
              <w:rPr>
                <w:rFonts w:ascii="仿宋_GB2312" w:hAnsi="仿宋_GB2312" w:cs="仿宋_GB2312" w:eastAsia="仿宋_GB2312"/>
                <w:sz w:val="21"/>
              </w:rPr>
              <w:t>六、</w:t>
            </w:r>
            <w:r>
              <w:rPr>
                <w:rFonts w:ascii="仿宋_GB2312" w:hAnsi="仿宋_GB2312" w:cs="仿宋_GB2312" w:eastAsia="仿宋_GB2312"/>
                <w:sz w:val="21"/>
              </w:rPr>
              <w:t>双人舞《</w:t>
            </w:r>
            <w:r>
              <w:rPr>
                <w:rFonts w:ascii="仿宋_GB2312" w:hAnsi="仿宋_GB2312" w:cs="仿宋_GB2312" w:eastAsia="仿宋_GB2312"/>
                <w:sz w:val="21"/>
              </w:rPr>
              <w:t>但愿人长久</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七</w:t>
            </w:r>
            <w:r>
              <w:rPr>
                <w:rFonts w:ascii="仿宋_GB2312" w:hAnsi="仿宋_GB2312" w:cs="仿宋_GB2312" w:eastAsia="仿宋_GB2312"/>
                <w:sz w:val="21"/>
              </w:rPr>
              <w:t>、变脸</w:t>
            </w:r>
          </w:p>
          <w:p>
            <w:pPr>
              <w:pStyle w:val="null3"/>
              <w:ind w:firstLine="420"/>
              <w:jc w:val="left"/>
            </w:pPr>
            <w:r>
              <w:rPr>
                <w:rFonts w:ascii="仿宋_GB2312" w:hAnsi="仿宋_GB2312" w:cs="仿宋_GB2312" w:eastAsia="仿宋_GB2312"/>
                <w:sz w:val="21"/>
              </w:rPr>
              <w:t>八</w:t>
            </w:r>
            <w:r>
              <w:rPr>
                <w:rFonts w:ascii="仿宋_GB2312" w:hAnsi="仿宋_GB2312" w:cs="仿宋_GB2312" w:eastAsia="仿宋_GB2312"/>
                <w:sz w:val="21"/>
              </w:rPr>
              <w:t>、独唱《</w:t>
            </w:r>
            <w:r>
              <w:rPr>
                <w:rFonts w:ascii="仿宋_GB2312" w:hAnsi="仿宋_GB2312" w:cs="仿宋_GB2312" w:eastAsia="仿宋_GB2312"/>
                <w:sz w:val="21"/>
              </w:rPr>
              <w:t>多情的土地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向往</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主持人：</w:t>
            </w:r>
            <w:r>
              <w:rPr>
                <w:rFonts w:ascii="仿宋_GB2312" w:hAnsi="仿宋_GB2312" w:cs="仿宋_GB2312" w:eastAsia="仿宋_GB2312"/>
                <w:sz w:val="21"/>
              </w:rPr>
              <w:t>2人</w:t>
            </w:r>
          </w:p>
          <w:p>
            <w:pPr>
              <w:pStyle w:val="null3"/>
              <w:ind w:firstLine="398"/>
              <w:jc w:val="left"/>
            </w:pPr>
            <w:r>
              <w:rPr>
                <w:rFonts w:ascii="仿宋_GB2312" w:hAnsi="仿宋_GB2312" w:cs="仿宋_GB2312" w:eastAsia="仿宋_GB2312"/>
                <w:sz w:val="21"/>
                <w:b/>
              </w:rPr>
              <w:t>二、采购内容</w:t>
            </w:r>
          </w:p>
          <w:p>
            <w:pPr>
              <w:pStyle w:val="null3"/>
              <w:ind w:firstLine="404"/>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）采购内容：主要为满足小型演出需求，拟采购音响、背景架、地毯、喷绘、车辆租赁租赁等；</w:t>
            </w:r>
          </w:p>
          <w:p>
            <w:pPr>
              <w:pStyle w:val="null3"/>
              <w:ind w:firstLine="404"/>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）采购数量：</w:t>
            </w:r>
            <w:r>
              <w:rPr>
                <w:rFonts w:ascii="仿宋_GB2312" w:hAnsi="仿宋_GB2312" w:cs="仿宋_GB2312" w:eastAsia="仿宋_GB2312"/>
                <w:sz w:val="21"/>
              </w:rPr>
              <w:t>25场；</w:t>
            </w:r>
          </w:p>
          <w:p>
            <w:pPr>
              <w:pStyle w:val="null3"/>
              <w:ind w:firstLine="404"/>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）主要功能或目标：以服务百姓为宗旨，满足广大人民群众的精神文化需求，提升人民群众的幸福感和获得感；</w:t>
            </w:r>
          </w:p>
          <w:p>
            <w:pPr>
              <w:pStyle w:val="null3"/>
              <w:ind w:firstLine="412"/>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）需满足的要求：满足小型演出需求。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2026年03月—2026年11月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合同签订后，供应商在进行两个月服务期后方可申请首次付款，供应商向采购人提出验收，采购人在15个工作日内对供应商已完成部分实施情况进行验收，验收合格后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项目实施结束后，供应商向采购人提出书面验收报告，采购人在15个工作日内对供应商项目实施情况进行验收，验收合格后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2、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二、解决合同纠纷的方式1、合同一经签订，不得随意变更、中止或终止。对确需变更、调整或者中止、终止合同的，应按规定履行相应的手续。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服务名称：西安市文艺志愿者小分队演出； 服务范围：西安市文艺志愿者小分队演出； 服务要求：满足采购人、磋商文件要求； 服务期限：2026年03月—2026年11月； 服务标准：满足项目采购需求，符合国家相关规定验收标准，验收合格。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近3年任意一年度的财务报表或具有财务审计资质的单位出具的财务报告（至少包括资产负债表和利润表，成立时间至提交投标文件截止时间不足一年的可提供成立后任意时段的资产负债表），或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12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前12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供应商应具有履行合同所必需的设备和专业技术能力，提供承诺函，供应商需在项目电子化交易系统中按要求上传相应证明文件并进行电子签章；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响应文件签署、盖章及响应有效期符合采购文件要求；</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采购内容</w:t>
            </w:r>
          </w:p>
        </w:tc>
        <w:tc>
          <w:tcPr>
            <w:tcW w:type="dxa" w:w="3322"/>
          </w:tcPr>
          <w:p>
            <w:pPr>
              <w:pStyle w:val="null3"/>
            </w:pPr>
            <w:r>
              <w:rPr>
                <w:rFonts w:ascii="仿宋_GB2312" w:hAnsi="仿宋_GB2312" w:cs="仿宋_GB2312" w:eastAsia="仿宋_GB2312"/>
              </w:rPr>
              <w:t>服务内容应符合采购文件要求；</w:t>
            </w:r>
          </w:p>
        </w:tc>
        <w:tc>
          <w:tcPr>
            <w:tcW w:type="dxa" w:w="1661"/>
          </w:tcPr>
          <w:p>
            <w:pPr>
              <w:pStyle w:val="null3"/>
            </w:pPr>
            <w:r>
              <w:rPr>
                <w:rFonts w:ascii="仿宋_GB2312" w:hAnsi="仿宋_GB2312" w:cs="仿宋_GB2312" w:eastAsia="仿宋_GB2312"/>
              </w:rPr>
              <w:t>响应文件封面 服务内容及服务要求应答表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整体服务方案（14分）</w:t>
            </w:r>
          </w:p>
        </w:tc>
        <w:tc>
          <w:tcPr>
            <w:tcW w:type="dxa" w:w="2492"/>
          </w:tcPr>
          <w:p>
            <w:pPr>
              <w:pStyle w:val="null3"/>
            </w:pPr>
            <w:r>
              <w:rPr>
                <w:rFonts w:ascii="仿宋_GB2312" w:hAnsi="仿宋_GB2312" w:cs="仿宋_GB2312" w:eastAsia="仿宋_GB2312"/>
              </w:rPr>
              <w:t>整体服务方案包括但不限于服务计划、服务措施、资源配备方案等，服务方案完整、措施有力得9-14分； 服务方案较完整、措施一般得4-9分； 服务方案不完整、措施较差得0-4分。 未提供的得0分。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服务质量保障措施（10分）</w:t>
            </w:r>
          </w:p>
        </w:tc>
        <w:tc>
          <w:tcPr>
            <w:tcW w:type="dxa" w:w="2492"/>
          </w:tcPr>
          <w:p>
            <w:pPr>
              <w:pStyle w:val="null3"/>
            </w:pPr>
            <w:r>
              <w:rPr>
                <w:rFonts w:ascii="仿宋_GB2312" w:hAnsi="仿宋_GB2312" w:cs="仿宋_GB2312" w:eastAsia="仿宋_GB2312"/>
              </w:rPr>
              <w:t>服务质量保障包括但不限于服务质量管理计划、质量保证措施、质量保障体系,质量保障体系完整、措施切实可行得7-10分； 质量保障体系较完整、措施一般得4-7分； 质量保障体系及措施均欠完整得0-4分。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服务进度保障措施（10分）</w:t>
            </w:r>
          </w:p>
        </w:tc>
        <w:tc>
          <w:tcPr>
            <w:tcW w:type="dxa" w:w="2492"/>
          </w:tcPr>
          <w:p>
            <w:pPr>
              <w:pStyle w:val="null3"/>
            </w:pPr>
            <w:r>
              <w:rPr>
                <w:rFonts w:ascii="仿宋_GB2312" w:hAnsi="仿宋_GB2312" w:cs="仿宋_GB2312" w:eastAsia="仿宋_GB2312"/>
              </w:rPr>
              <w:t>服务进度保证包括但不限于进度保证计划、工期保证措施，服务进度保障体系完整，节点细节详细得7-10分； 服务进度保障体系较完整，节点细节一般得4-7分； 服务进度保障体系较差，节点细节不清晰得0-4分；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安全保障措施（10分）</w:t>
            </w:r>
          </w:p>
        </w:tc>
        <w:tc>
          <w:tcPr>
            <w:tcW w:type="dxa" w:w="2492"/>
          </w:tcPr>
          <w:p>
            <w:pPr>
              <w:pStyle w:val="null3"/>
            </w:pPr>
            <w:r>
              <w:rPr>
                <w:rFonts w:ascii="仿宋_GB2312" w:hAnsi="仿宋_GB2312" w:cs="仿宋_GB2312" w:eastAsia="仿宋_GB2312"/>
              </w:rPr>
              <w:t>安全保障措施包括但不限于交通安全、消防安全以及维护演出现场秩序工作，严防拥挤、踩踏等事故发生，保证活动顺利进行，安全保障措施科学合理、可操作性强得7-10分； 安全保障措施较科学合理、可操作性一般得4-7分； 安全保障措施科学合理性差、可操作性差得0-4分；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人员（10分）</w:t>
            </w:r>
          </w:p>
        </w:tc>
        <w:tc>
          <w:tcPr>
            <w:tcW w:type="dxa" w:w="2492"/>
          </w:tcPr>
          <w:p>
            <w:pPr>
              <w:pStyle w:val="null3"/>
            </w:pPr>
            <w:r>
              <w:rPr>
                <w:rFonts w:ascii="仿宋_GB2312" w:hAnsi="仿宋_GB2312" w:cs="仿宋_GB2312" w:eastAsia="仿宋_GB2312"/>
              </w:rPr>
              <w:t>针对本项目特点，提出全面明确的人员工作管理部署方案,配备齐全、合理、业务能力强，完全满足项目需要得7-10分； 配备较齐全、合理，基本满足项目需要得4-7分； 配备专业不齐全、配置不合理，可能影响项目进度及质量得0-4分；未提供的得0分。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设备保证（10分）</w:t>
            </w:r>
          </w:p>
        </w:tc>
        <w:tc>
          <w:tcPr>
            <w:tcW w:type="dxa" w:w="2492"/>
          </w:tcPr>
          <w:p>
            <w:pPr>
              <w:pStyle w:val="null3"/>
            </w:pPr>
            <w:r>
              <w:rPr>
                <w:rFonts w:ascii="仿宋_GB2312" w:hAnsi="仿宋_GB2312" w:cs="仿宋_GB2312" w:eastAsia="仿宋_GB2312"/>
              </w:rPr>
              <w:t>拟投入本项目的设备要满足实际需求。 拟投入本项目设备设施的配置方案完全满足实际需要，设备先进，种类齐全得7-10分； 设备设施的配备方案基本满足实际需求，基本完善、可行得4-7分； 设备设施的配备方案不能满足实际需求，不完善得0-4分；未提供的得0分。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应急措施（10分）</w:t>
            </w:r>
          </w:p>
        </w:tc>
        <w:tc>
          <w:tcPr>
            <w:tcW w:type="dxa" w:w="2492"/>
          </w:tcPr>
          <w:p>
            <w:pPr>
              <w:pStyle w:val="null3"/>
            </w:pPr>
            <w:r>
              <w:rPr>
                <w:rFonts w:ascii="仿宋_GB2312" w:hAnsi="仿宋_GB2312" w:cs="仿宋_GB2312" w:eastAsia="仿宋_GB2312"/>
              </w:rPr>
              <w:t>结合本项目提出应急措施包括但不限于应急措施方案（如停电、灯光、节目、人员等有针对性的预防及实施措施）、安保措施方案、消防措施方案、后勤保障措施方案以及不可预见的突发应急。 突发事件应急预案，详细，实用，切实可行得7-10分； 突发事件应急预案，详细，实用，可行性较强得4-7分； 突发事件应急预案，简单，可行性差得0-4分；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服务保障与承诺（10分）</w:t>
            </w:r>
          </w:p>
        </w:tc>
        <w:tc>
          <w:tcPr>
            <w:tcW w:type="dxa" w:w="2492"/>
          </w:tcPr>
          <w:p>
            <w:pPr>
              <w:pStyle w:val="null3"/>
            </w:pPr>
            <w:r>
              <w:rPr>
                <w:rFonts w:ascii="仿宋_GB2312" w:hAnsi="仿宋_GB2312" w:cs="仿宋_GB2312" w:eastAsia="仿宋_GB2312"/>
              </w:rPr>
              <w:t>结合本项目特点提供切实可行的服务保障措施及服务承诺，包括但不限于服务保障措施、服务效率、服务承诺（包括资金筹措、运输工具、人员素质、管理水平等方面），承诺事项承诺事项具体、可行、可操作性强得7-10分； 承诺事项简单、可行、可操作性较强得4-7分； 承诺事项简单、可行性差得0-4分；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业绩（6分）</w:t>
            </w:r>
          </w:p>
        </w:tc>
        <w:tc>
          <w:tcPr>
            <w:tcW w:type="dxa" w:w="2492"/>
          </w:tcPr>
          <w:p>
            <w:pPr>
              <w:pStyle w:val="null3"/>
            </w:pPr>
            <w:r>
              <w:rPr>
                <w:rFonts w:ascii="仿宋_GB2312" w:hAnsi="仿宋_GB2312" w:cs="仿宋_GB2312" w:eastAsia="仿宋_GB2312"/>
              </w:rPr>
              <w:t>供应商具有2023年1月1日至今的类似相关项目业绩（以中标通知书或合同为准，时间以中标通知书时间或合同签订时间为准）每个计2分，最多计6分。业绩需提供相关证明材料扫描件加盖公章，不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得分＝（评标基准价/投标报价）×价格评审值（注：满足招标文件要求且投标价格最低的投标报价为评标基准价。）最低报价不是中标的唯一依据。本项目为专门面向中小企业采购的项目，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详见附件：西安市文艺志愿者小分队演出服务合同.docx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