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版本号：HC-FZB-2026-00820260121001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皂河入渭口K0+511.08至K0+618.85段水毁修复工程项目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HC-FZB-2026-008</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皂河入渭口K0+511.08至K0+618.85段水毁修复工程项目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HC-FZB-2026-008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皂河入渭口K0+511.08至K0+618.85段水毁修复工程项目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皂河入渭口K0+511.08至K0+618.85段水毁修复工程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采购包1（皂河入渭口K0+511.08至K0+618.85段水毁修复工程）：属于专门面向中小企业采购。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3、项目经理：拟派项目经理须具备有效的水利水电工程专业二级（含二级）以上建造师注册证，具备水行政主管部门颁发的安全生产考核合格证（B证），且在本单位注册，无在建工程（提供无在建工程承诺书）。</w:t>
      </w:r>
    </w:p>
    <w:p>
      <w:pPr>
        <w:pStyle w:val="null3"/>
      </w:pPr>
      <w:r>
        <w:rPr>
          <w:rFonts w:ascii="仿宋_GB2312" w:hAnsi="仿宋_GB2312" w:cs="仿宋_GB2312" w:eastAsia="仿宋_GB2312"/>
        </w:rPr>
        <w:t>4、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5、税收缴纳证明：提供投标截止日前6个月内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6、社会保障资金缴纳证明：提供投标截止日前6个月内已缴纳的至少一个月的社会保障资金缴存单据或社保机构开具的社会保险参保缴费情况证明，依法不需要缴纳社会保障资金的单位应提供相关证明材料。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8、履行合同所必需的设备和专业技术能力的承诺函：提供具有履行合同所必需的设备和专业技术能力的承诺函。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9、控股管理关系：单位负责人为同一人或者存在直接控股、管理关系的不同供应商，不得同时参加本项目采购活动。</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12、中小企业声明函：本项目专门面向中小企业采购（提供中小企业声明函）。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西安市未央区凤城南路东段10号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张向宁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国家发展改革委员会办公厅关于招标代理服务费收费有关问题的通知》（发改办价格[2003]857号）的规定依据收费标准的92%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一、质量达到合格标准，并满足国家相关标准、规范及有关技术文件要求。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联系人：张向宁</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936,800.00</w:t>
      </w:r>
    </w:p>
    <w:p>
      <w:pPr>
        <w:pStyle w:val="null3"/>
      </w:pPr>
      <w:r>
        <w:rPr>
          <w:rFonts w:ascii="仿宋_GB2312" w:hAnsi="仿宋_GB2312" w:cs="仿宋_GB2312" w:eastAsia="仿宋_GB2312"/>
        </w:rPr>
        <w:t>采购包最高限价（元）: 936,800.00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皂河入渭口K0+511.08至K0+618.85段水毁修复工程项目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936,800.00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标的名称：皂河入渭口K0+511.08至K0+618.85段水毁修复工程项目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一、工程概况及地理位置</w:t>
            </w:r>
          </w:p>
          <w:p>
            <w:pPr>
              <w:pStyle w:val="null3"/>
              <w:ind w:firstLine="420"/>
              <w:jc w:val="both"/>
            </w:pPr>
            <w:r>
              <w:rPr>
                <w:rFonts w:ascii="仿宋_GB2312" w:hAnsi="仿宋_GB2312" w:cs="仿宋_GB2312" w:eastAsia="仿宋_GB2312"/>
                <w:sz w:val="21"/>
              </w:rPr>
              <w:t>渭河是陕西关中人民的母亲河，它横贯关中地区，滋养了关中人民。渭河系黄河一级支流，发源于甘肃省渭源县鸟鼠山，自西向东经甘肃省渭源、陇西、武山、甘谷、天水等地后于宝鸡凤阁岭南进入我省，流经宝鸡、咸阳、西安、渭南等市后于潼关注入黄河，全长</w:t>
            </w:r>
            <w:r>
              <w:rPr>
                <w:rFonts w:ascii="仿宋_GB2312" w:hAnsi="仿宋_GB2312" w:cs="仿宋_GB2312" w:eastAsia="仿宋_GB2312"/>
                <w:sz w:val="21"/>
              </w:rPr>
              <w:t>818km，流域面积13.5万km2。</w:t>
            </w:r>
          </w:p>
          <w:p>
            <w:pPr>
              <w:pStyle w:val="null3"/>
              <w:ind w:firstLine="420"/>
              <w:jc w:val="both"/>
            </w:pPr>
            <w:r>
              <w:rPr>
                <w:rFonts w:ascii="仿宋_GB2312" w:hAnsi="仿宋_GB2312" w:cs="仿宋_GB2312" w:eastAsia="仿宋_GB2312"/>
                <w:sz w:val="21"/>
              </w:rPr>
              <w:t>皂河是西安市一条重要的排泄雨洪水的城市河流，发源于西安市长安区局连村，是渭河的一级支流，河流全长</w:t>
            </w:r>
            <w:r>
              <w:rPr>
                <w:rFonts w:ascii="仿宋_GB2312" w:hAnsi="仿宋_GB2312" w:cs="仿宋_GB2312" w:eastAsia="仿宋_GB2312"/>
                <w:sz w:val="21"/>
              </w:rPr>
              <w:t>35.85km，其中上游西安市长安区境内河道长度8.89km，下游西安市城市段河道长度26.96km，其防洪体系主要以河道堤防、护岸、堤顶防汛道路及护堤绿化带等共同组成。皂河城市段的主要支流有大环河、太平河及沣二干渠、沣三干渠等，其雨水汇集面积为283km2，其中汇集城市区域雨水面积240km2。</w:t>
            </w:r>
          </w:p>
          <w:p>
            <w:pPr>
              <w:pStyle w:val="null3"/>
              <w:ind w:firstLine="420"/>
              <w:jc w:val="both"/>
            </w:pPr>
            <w:r>
              <w:rPr>
                <w:rFonts w:ascii="仿宋_GB2312" w:hAnsi="仿宋_GB2312" w:cs="仿宋_GB2312" w:eastAsia="仿宋_GB2312"/>
                <w:sz w:val="21"/>
              </w:rPr>
              <w:t>本次工程位于皂河入渭口渭河滩区范围内，工程起点为皂河</w:t>
            </w:r>
            <w:r>
              <w:rPr>
                <w:rFonts w:ascii="仿宋_GB2312" w:hAnsi="仿宋_GB2312" w:cs="仿宋_GB2312" w:eastAsia="仿宋_GB2312"/>
                <w:sz w:val="21"/>
              </w:rPr>
              <w:t>1#格宾石笼坝坝后，终点至本次皂河水毁终点下游 25m，治理河道长度114.74m，修复护岸总长度 112.06m，新建格宾石笼基础 14m。</w:t>
            </w:r>
          </w:p>
          <w:p>
            <w:pPr>
              <w:pStyle w:val="null3"/>
              <w:jc w:val="left"/>
            </w:pPr>
            <w:r>
              <w:rPr>
                <w:rFonts w:ascii="仿宋_GB2312" w:hAnsi="仿宋_GB2312" w:cs="仿宋_GB2312" w:eastAsia="仿宋_GB2312"/>
                <w:sz w:val="21"/>
                <w:b/>
              </w:rPr>
              <w:t>二、工程现状及主要存在问题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1）工程区现状</w:t>
            </w:r>
          </w:p>
          <w:p>
            <w:pPr>
              <w:pStyle w:val="null3"/>
              <w:ind w:firstLine="420"/>
              <w:jc w:val="both"/>
            </w:pPr>
            <w:r>
              <w:rPr>
                <w:rFonts w:ascii="仿宋_GB2312" w:hAnsi="仿宋_GB2312" w:cs="仿宋_GB2312" w:eastAsia="仿宋_GB2312"/>
                <w:sz w:val="21"/>
              </w:rPr>
              <w:t>本工程位于皂河大桥下游</w:t>
            </w:r>
            <w:r>
              <w:rPr>
                <w:rFonts w:ascii="仿宋_GB2312" w:hAnsi="仿宋_GB2312" w:cs="仿宋_GB2312" w:eastAsia="仿宋_GB2312"/>
                <w:sz w:val="21"/>
              </w:rPr>
              <w:t>500m处，工程起点为皂河1#格宾石笼坝下游，终点至皂河水毁终点下游25m，涉及河道长度约115m，现状河道宽约50～70m，已进行过系统治理。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2）水毁情况</w:t>
            </w:r>
          </w:p>
          <w:p>
            <w:pPr>
              <w:pStyle w:val="null3"/>
              <w:ind w:firstLine="420"/>
              <w:jc w:val="both"/>
            </w:pPr>
            <w:r>
              <w:rPr>
                <w:rFonts w:ascii="仿宋_GB2312" w:hAnsi="仿宋_GB2312" w:cs="仿宋_GB2312" w:eastAsia="仿宋_GB2312"/>
                <w:sz w:val="21"/>
              </w:rPr>
              <w:t>近年来受西安市城区强降雨影响，皂河入渭口</w:t>
            </w:r>
            <w:r>
              <w:rPr>
                <w:rFonts w:ascii="仿宋_GB2312" w:hAnsi="仿宋_GB2312" w:cs="仿宋_GB2312" w:eastAsia="仿宋_GB2312"/>
                <w:sz w:val="21"/>
              </w:rPr>
              <w:t>K0+511.08至</w:t>
            </w:r>
          </w:p>
          <w:p>
            <w:pPr>
              <w:pStyle w:val="null3"/>
              <w:jc w:val="both"/>
            </w:pPr>
            <w:r>
              <w:rPr>
                <w:rFonts w:ascii="仿宋_GB2312" w:hAnsi="仿宋_GB2312" w:cs="仿宋_GB2312" w:eastAsia="仿宋_GB2312"/>
                <w:sz w:val="21"/>
              </w:rPr>
              <w:t>K0+618.85段河道右岸塌岸严重，形成一段长度约60m的连续塌岸，破坏了河道边坡结构；左岸距离1#格宾石笼坝下游约70m处有约14m长的格宾石笼基础发生塌陷；溢流坝两侧坝肩的格宾石笼均发生局部垮塌，原本交叠堆放的格宾石笼结构遭到破坏，坝肩的稳定性受损，进而影响该段护岸和溢流坝的整体安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主要存在问题</w:t>
            </w:r>
          </w:p>
          <w:p>
            <w:pPr>
              <w:pStyle w:val="null3"/>
              <w:ind w:firstLine="420"/>
              <w:jc w:val="both"/>
            </w:pPr>
            <w:r>
              <w:rPr>
                <w:rFonts w:ascii="仿宋_GB2312" w:hAnsi="仿宋_GB2312" w:cs="仿宋_GB2312" w:eastAsia="仿宋_GB2312"/>
                <w:sz w:val="21"/>
              </w:rPr>
              <w:t>①护岸垮塌，防洪能力减弱</w:t>
            </w:r>
          </w:p>
          <w:p>
            <w:pPr>
              <w:pStyle w:val="null3"/>
              <w:ind w:firstLine="420"/>
              <w:jc w:val="both"/>
            </w:pPr>
            <w:r>
              <w:rPr>
                <w:rFonts w:ascii="仿宋_GB2312" w:hAnsi="仿宋_GB2312" w:cs="仿宋_GB2312" w:eastAsia="仿宋_GB2312"/>
                <w:sz w:val="21"/>
              </w:rPr>
              <w:t>工程区段现状河道右侧岸坡局部受冲刷严重，现有柳木桩已倒塌并形成垂直切面，岸坡防洪能力减弱，若不采取防护措施岸坡会继续发生垮塌，水流冲刷对基础及岸坡的影响也将会变大，进而影响皂河河势。</w:t>
            </w:r>
          </w:p>
          <w:p>
            <w:pPr>
              <w:pStyle w:val="null3"/>
              <w:ind w:firstLine="420"/>
              <w:jc w:val="both"/>
            </w:pPr>
            <w:r>
              <w:rPr>
                <w:rFonts w:ascii="仿宋_GB2312" w:hAnsi="仿宋_GB2312" w:cs="仿宋_GB2312" w:eastAsia="仿宋_GB2312"/>
                <w:sz w:val="21"/>
              </w:rPr>
              <w:t>②溢流坝结构受损，整体安全受威胁</w:t>
            </w:r>
          </w:p>
          <w:p>
            <w:pPr>
              <w:pStyle w:val="null3"/>
              <w:ind w:firstLine="420"/>
              <w:jc w:val="both"/>
            </w:pPr>
            <w:r>
              <w:rPr>
                <w:rFonts w:ascii="仿宋_GB2312" w:hAnsi="仿宋_GB2312" w:cs="仿宋_GB2312" w:eastAsia="仿宋_GB2312"/>
                <w:sz w:val="21"/>
              </w:rPr>
              <w:t>溢流坝两侧坝肩格宾石笼均局部垮塌，影响坝体整体结构，遇汛期流量较大易发生大范围垮塌，威胁坝体安全稳定运行。</w:t>
            </w:r>
          </w:p>
          <w:p>
            <w:pPr>
              <w:pStyle w:val="null3"/>
              <w:jc w:val="both"/>
            </w:pPr>
            <w:r>
              <w:rPr>
                <w:rFonts w:ascii="仿宋_GB2312" w:hAnsi="仿宋_GB2312" w:cs="仿宋_GB2312" w:eastAsia="仿宋_GB2312"/>
                <w:sz w:val="21"/>
                <w:b/>
              </w:rPr>
              <w:t>三、工程任务及规模</w:t>
            </w:r>
          </w:p>
          <w:p>
            <w:pPr>
              <w:pStyle w:val="null3"/>
              <w:ind w:firstLine="420"/>
              <w:jc w:val="both"/>
            </w:pPr>
            <w:r>
              <w:rPr>
                <w:rFonts w:ascii="仿宋_GB2312" w:hAnsi="仿宋_GB2312" w:cs="仿宋_GB2312" w:eastAsia="仿宋_GB2312"/>
                <w:sz w:val="21"/>
              </w:rPr>
              <w:t>本工程主要任务是通过护岸水毁修复，提高岸坡抗冲能力，确保河道行洪顺畅安全，改善河道现状环境。</w:t>
            </w:r>
          </w:p>
          <w:p>
            <w:pPr>
              <w:pStyle w:val="null3"/>
              <w:ind w:firstLine="420"/>
              <w:jc w:val="both"/>
            </w:pPr>
            <w:r>
              <w:rPr>
                <w:rFonts w:ascii="仿宋_GB2312" w:hAnsi="仿宋_GB2312" w:cs="仿宋_GB2312" w:eastAsia="仿宋_GB2312"/>
                <w:sz w:val="21"/>
              </w:rPr>
              <w:t>本次工程修复护岸总长度</w:t>
            </w:r>
            <w:r>
              <w:rPr>
                <w:rFonts w:ascii="仿宋_GB2312" w:hAnsi="仿宋_GB2312" w:cs="仿宋_GB2312" w:eastAsia="仿宋_GB2312"/>
                <w:sz w:val="21"/>
              </w:rPr>
              <w:t>112.06m</w:t>
            </w:r>
            <w:r>
              <w:rPr>
                <w:rFonts w:ascii="仿宋_GB2312" w:hAnsi="仿宋_GB2312" w:cs="仿宋_GB2312" w:eastAsia="仿宋_GB2312"/>
                <w:sz w:val="21"/>
              </w:rPr>
              <w:t>，新建格宾石笼基础</w:t>
            </w:r>
            <w:r>
              <w:rPr>
                <w:rFonts w:ascii="仿宋_GB2312" w:hAnsi="仿宋_GB2312" w:cs="仿宋_GB2312" w:eastAsia="仿宋_GB2312"/>
                <w:sz w:val="21"/>
              </w:rPr>
              <w:t>14m</w:t>
            </w:r>
            <w:r>
              <w:rPr>
                <w:rFonts w:ascii="仿宋_GB2312" w:hAnsi="仿宋_GB2312" w:cs="仿宋_GB2312" w:eastAsia="仿宋_GB2312"/>
                <w:sz w:val="21"/>
              </w:rPr>
              <w:t>。设计防洪标准为</w:t>
            </w:r>
            <w:r>
              <w:rPr>
                <w:rFonts w:ascii="仿宋_GB2312" w:hAnsi="仿宋_GB2312" w:cs="仿宋_GB2312" w:eastAsia="仿宋_GB2312"/>
                <w:sz w:val="21"/>
              </w:rPr>
              <w:t>10</w:t>
            </w:r>
            <w:r>
              <w:rPr>
                <w:rFonts w:ascii="仿宋_GB2312" w:hAnsi="仿宋_GB2312" w:cs="仿宋_GB2312" w:eastAsia="仿宋_GB2312"/>
                <w:sz w:val="21"/>
              </w:rPr>
              <w:t>年一遇设计洪水，设计洪水流量为</w:t>
            </w:r>
            <w:r>
              <w:rPr>
                <w:rFonts w:ascii="仿宋_GB2312" w:hAnsi="仿宋_GB2312" w:cs="仿宋_GB2312" w:eastAsia="仿宋_GB2312"/>
                <w:sz w:val="21"/>
              </w:rPr>
              <w:t>260m³/s</w:t>
            </w:r>
            <w:r>
              <w:rPr>
                <w:rFonts w:ascii="仿宋_GB2312" w:hAnsi="仿宋_GB2312" w:cs="仿宋_GB2312" w:eastAsia="仿宋_GB2312"/>
                <w:sz w:val="21"/>
              </w:rPr>
              <w:t>，主要建筑物参照</w:t>
            </w:r>
            <w:r>
              <w:rPr>
                <w:rFonts w:ascii="仿宋_GB2312" w:hAnsi="仿宋_GB2312" w:cs="仿宋_GB2312" w:eastAsia="仿宋_GB2312"/>
                <w:sz w:val="21"/>
              </w:rPr>
              <w:t>5</w:t>
            </w:r>
            <w:r>
              <w:rPr>
                <w:rFonts w:ascii="仿宋_GB2312" w:hAnsi="仿宋_GB2312" w:cs="仿宋_GB2312" w:eastAsia="仿宋_GB2312"/>
                <w:sz w:val="21"/>
              </w:rPr>
              <w:t>级标准。</w:t>
            </w:r>
          </w:p>
          <w:p>
            <w:pPr>
              <w:pStyle w:val="null3"/>
              <w:jc w:val="both"/>
            </w:pPr>
            <w:r>
              <w:rPr>
                <w:rFonts w:ascii="仿宋_GB2312" w:hAnsi="仿宋_GB2312" w:cs="仿宋_GB2312" w:eastAsia="仿宋_GB2312"/>
                <w:sz w:val="21"/>
                <w:b/>
              </w:rPr>
              <w:t>四、主要建设内容</w:t>
            </w:r>
          </w:p>
          <w:p>
            <w:pPr>
              <w:pStyle w:val="null3"/>
              <w:ind w:firstLine="420"/>
              <w:jc w:val="both"/>
            </w:pPr>
            <w:r>
              <w:rPr>
                <w:rFonts w:ascii="仿宋_GB2312" w:hAnsi="仿宋_GB2312" w:cs="仿宋_GB2312" w:eastAsia="仿宋_GB2312"/>
                <w:sz w:val="21"/>
              </w:rPr>
              <w:t>本次工程起点为皂河</w:t>
            </w:r>
            <w:r>
              <w:rPr>
                <w:rFonts w:ascii="仿宋_GB2312" w:hAnsi="仿宋_GB2312" w:cs="仿宋_GB2312" w:eastAsia="仿宋_GB2312"/>
                <w:sz w:val="21"/>
              </w:rPr>
              <w:t>1#格宾石笼坝下游，终点至皂河水毁终点下游25m，修复护岸总长度112.06m，修复格宾石笼基础14m。工程建设内容分为五部分：</w:t>
            </w:r>
          </w:p>
          <w:p>
            <w:pPr>
              <w:pStyle w:val="null3"/>
              <w:ind w:firstLine="420"/>
              <w:jc w:val="both"/>
            </w:pPr>
            <w:r>
              <w:rPr>
                <w:rFonts w:ascii="仿宋_GB2312" w:hAnsi="仿宋_GB2312" w:cs="仿宋_GB2312" w:eastAsia="仿宋_GB2312"/>
                <w:sz w:val="21"/>
              </w:rPr>
              <w:t>①起于皂河1#格宾石笼坝下游右岸起点，终点至本次皂河水毁终点下游25m，修复护岸长度95.19m；</w:t>
            </w:r>
          </w:p>
          <w:p>
            <w:pPr>
              <w:pStyle w:val="null3"/>
              <w:ind w:firstLine="420"/>
              <w:jc w:val="both"/>
            </w:pPr>
            <w:r>
              <w:rPr>
                <w:rFonts w:ascii="仿宋_GB2312" w:hAnsi="仿宋_GB2312" w:cs="仿宋_GB2312" w:eastAsia="仿宋_GB2312"/>
                <w:sz w:val="21"/>
              </w:rPr>
              <w:t>②起于皂河1#格宾石笼坝下游左岸起点，终点至现状格宾基础处，修复护岸长度16.87m；</w:t>
            </w:r>
          </w:p>
          <w:p>
            <w:pPr>
              <w:pStyle w:val="null3"/>
              <w:ind w:firstLine="420"/>
              <w:jc w:val="both"/>
            </w:pPr>
            <w:r>
              <w:rPr>
                <w:rFonts w:ascii="仿宋_GB2312" w:hAnsi="仿宋_GB2312" w:cs="仿宋_GB2312" w:eastAsia="仿宋_GB2312"/>
                <w:sz w:val="21"/>
              </w:rPr>
              <w:t>③对河道中心桩号K0+587.51～K0+601.38段对应的左岸修复格宾石笼防护，防护长14m，宽4m；</w:t>
            </w:r>
          </w:p>
          <w:p>
            <w:pPr>
              <w:pStyle w:val="null3"/>
              <w:ind w:firstLine="420"/>
              <w:jc w:val="both"/>
            </w:pPr>
            <w:r>
              <w:rPr>
                <w:rFonts w:ascii="仿宋_GB2312" w:hAnsi="仿宋_GB2312" w:cs="仿宋_GB2312" w:eastAsia="仿宋_GB2312"/>
                <w:sz w:val="21"/>
              </w:rPr>
              <w:t>④在右岸格宾石笼末点设置格宾石笼基础防护至现状2#格宾石笼坝海漫下游处，长32m，宽2m；</w:t>
            </w:r>
          </w:p>
          <w:p>
            <w:pPr>
              <w:pStyle w:val="null3"/>
              <w:ind w:firstLine="420"/>
              <w:jc w:val="both"/>
            </w:pPr>
            <w:r>
              <w:rPr>
                <w:rFonts w:ascii="仿宋_GB2312" w:hAnsi="仿宋_GB2312" w:cs="仿宋_GB2312" w:eastAsia="仿宋_GB2312"/>
                <w:sz w:val="21"/>
              </w:rPr>
              <w:t>⑤对现状 1#格宾石笼坝海漫损毁处进行修复，长12m，宽2m。</w:t>
            </w:r>
            <w:r>
              <w:rPr>
                <w:rFonts w:ascii="仿宋_GB2312" w:hAnsi="仿宋_GB2312" w:cs="仿宋_GB2312" w:eastAsia="仿宋_GB2312"/>
                <w:sz w:val="21"/>
                <w:b/>
              </w:rPr>
              <w:t>五、施工要求：</w:t>
            </w:r>
          </w:p>
          <w:p>
            <w:pPr>
              <w:pStyle w:val="null3"/>
              <w:ind w:firstLine="420"/>
              <w:jc w:val="both"/>
            </w:pPr>
            <w:r>
              <w:rPr>
                <w:rFonts w:ascii="仿宋_GB2312" w:hAnsi="仿宋_GB2312" w:cs="仿宋_GB2312" w:eastAsia="仿宋_GB2312"/>
                <w:sz w:val="21"/>
              </w:rPr>
              <w:t>1.工程施工</w:t>
            </w:r>
          </w:p>
          <w:p>
            <w:pPr>
              <w:pStyle w:val="null3"/>
              <w:ind w:firstLine="420"/>
              <w:jc w:val="both"/>
            </w:pPr>
            <w:r>
              <w:rPr>
                <w:rFonts w:ascii="仿宋_GB2312" w:hAnsi="仿宋_GB2312" w:cs="仿宋_GB2312" w:eastAsia="仿宋_GB2312"/>
                <w:sz w:val="21"/>
              </w:rPr>
              <w:t>本次工程按机械为主，人工为辅的原则进行施工安排。所需土料本着经济、合理的原则首先利用本工程开挖基槽的土方。土方开挖采用挖掘机为主，推土机及人工配合施工，土方压实以机械碾压为主，机械压不到的地方采用蛙式打夯机补夯，最后由人工整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1）土方填筑工程施工要严格掌握铺土厚度，确保均匀一致。每层铺土厚度根据压实机械具体情况，经试验后确定。铺土宽度，逐层压实后应达到设计断面标准，严禁断面不足和贴坡。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碾压作业面要统一管理，做到统一铺土、统一碾压，并配备足够的平土机具和平土人员，及时平整。每个工段作业面长一般不小于50m，相邻两工段作业面应均衡上土，以减少施工接缝。每层土料铺完后，应及时进行碾压，以防土料含水量降低，而影响压实质量。如土料晾晒时间较长，表面出现风干现象，应做洒水和刨毛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机械压实时，宜采用振动碾或蛙式打夯机，依据《河道整治设计规范》（GB50707-2011）8.3.2第4条规定，干容重应由实验室做出击实试验报告，并经监理工程师批准方可作为工程质量控制的依据。机械碾压一般中速行驶为宜，并应走直、扣严、到头、到边，不得漏压。轮（碾）迹套压宽度不小于10cm；分段分片碾压时，相邻两个压实面的搭接宽度为1～2m；碾压机具行走方式为平行于坝轴线。对于机械压不到的边角，要用人工或机械夯补压夯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施工中如发现填土中有“橡皮泥”层面结合不良、松土层、裂缝和剪切破坏等现象时，应立即停工，根据具体情况进行处理，处理后经检查合格后，方准重新施工。每层工作面的质量检查，按100m2取1～2个土样，进行干容重试验，并现场做好原始记录对于容重达不到设计要求的要进行返工。</w:t>
            </w:r>
          </w:p>
          <w:p>
            <w:pPr>
              <w:pStyle w:val="null3"/>
              <w:ind w:firstLine="420"/>
              <w:jc w:val="both"/>
            </w:pPr>
            <w:r>
              <w:rPr>
                <w:rFonts w:ascii="仿宋_GB2312" w:hAnsi="仿宋_GB2312" w:cs="仿宋_GB2312" w:eastAsia="仿宋_GB2312"/>
                <w:sz w:val="21"/>
              </w:rPr>
              <w:t>2.格宾石笼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石笼必须是国家认证的合格产品，并出具产品合格证明。基础箱制作及现场铺设应遵守规范《工程用机编钢丝网及组合体》（YB/T4190-2018），钢丝应符合《工程机编钢丝网用钢丝》（YB/T4221-2016），选用石料应符合《建筑地基基础设计规范》（GB50007-2011）。石笼选用机制钢丝石笼，规格为1×1×1m，网孔为140×160mm蜂巢式网孔，网面钢丝线径2.6mm，网边线径3.0mm，箱体连线径2.2mm。钢丝要求金属镀层：Zn-10%Al；镀层等级：Ⅰ组；镀层重量大于 233g/m2，网面标称翻边强度大于35KN/m。钢丝单根抗拉强度≥450MPa，断后伸长率大于等于12%。填充石料应选用卵石或块石且饱和单轴抗压强度不小于30Mpa，粒径大于网孔1.2倍以上，要求无风化，坚硬石料，空隙密实度大于80%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护坡设计断面进行格宾石笼网箱的组装，石笼网箱在组装时，间隔网与网身应成90°相交，经绑扎形成长方形或正方形网箱组。每一道绑扎必须是双股线并绞紧，构成网箱组或网箱的各种网片。施工时根据设计要求的护坡网箱入土深度、长度及宽度，开挖基槽。并在护坡下面铺设好土工布后进行格宾护坡的施工，施工时保证格宾石笼护坡的基底土质及其密实度。现场如遇较差的地基土质时，需进行地基处理，处理后的地基承载力符合设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3）填充石笼网箱的石料规格质量，必须符合设计要求，填充石料容重应达到1.7t/m3。必须同时均匀地向同层的各箱格内投料，严禁将单格网箱一次性投满，填料施工中，控制每层投料厚度在30cm以下，一般1m 高网箱分四层投料为宜，填充石料顶面宜适当高出网箱，且必须密实，空隙处宜以小碎石填塞。裸露的填充石料，表面应以人工或机械砌垒整平，石料间应相互搭接。石料装箱时应随装石填入20%碎石或砂砾石，进行装石同步密实孔洞，密实度大于80%。石料严禁选用风化石、锈石。在施工过程中，网箱组砌体平面位置必须符合设计图纸要求；网箱层与层间砌体应纵横交错，上下联结，严禁出现“通缝”，砌体外露面应平整美观。石料装砌完后，经检查合格方可进行封盖并用格宾绑扎，绑扎间距为30cm，使装好石笼的格宾网紧密地裹在石料上；绑扎丝的端头应向下，插入格宾石笼的填石中，严禁向上露出过长。</w:t>
            </w:r>
          </w:p>
          <w:p>
            <w:pPr>
              <w:pStyle w:val="null3"/>
              <w:ind w:firstLine="420"/>
              <w:jc w:val="both"/>
            </w:pPr>
            <w:r>
              <w:rPr>
                <w:rFonts w:ascii="仿宋_GB2312" w:hAnsi="仿宋_GB2312" w:cs="仿宋_GB2312" w:eastAsia="仿宋_GB2312"/>
                <w:sz w:val="21"/>
              </w:rPr>
              <w:t>3.土工布</w:t>
            </w:r>
          </w:p>
          <w:p>
            <w:pPr>
              <w:pStyle w:val="null3"/>
              <w:ind w:firstLine="420"/>
              <w:jc w:val="both"/>
            </w:pPr>
            <w:r>
              <w:rPr>
                <w:rFonts w:ascii="仿宋_GB2312" w:hAnsi="仿宋_GB2312" w:cs="仿宋_GB2312" w:eastAsia="仿宋_GB2312"/>
                <w:sz w:val="21"/>
              </w:rPr>
              <w:t>土工布规格为</w:t>
            </w:r>
            <w:r>
              <w:rPr>
                <w:rFonts w:ascii="仿宋_GB2312" w:hAnsi="仿宋_GB2312" w:cs="仿宋_GB2312" w:eastAsia="仿宋_GB2312"/>
                <w:sz w:val="21"/>
              </w:rPr>
              <w:t>300g/m2，厚度不小于2.4mm，经纬向拉伸强度不小于9.5kN/m，CBR顶破强力不小于1.5KN，经纬向梯形撕裂强力不小于0.24KN。土工布施工时，要检查布的质量有无破损，在施工中遇大雨，应立即停止施工，妥善保护表面，按施工技术规范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1）储存、运输和处理土工布</w:t>
            </w:r>
          </w:p>
          <w:p>
            <w:pPr>
              <w:pStyle w:val="null3"/>
              <w:ind w:firstLine="420"/>
              <w:jc w:val="both"/>
            </w:pPr>
            <w:r>
              <w:rPr>
                <w:rFonts w:ascii="仿宋_GB2312" w:hAnsi="仿宋_GB2312" w:cs="仿宋_GB2312" w:eastAsia="仿宋_GB2312"/>
                <w:sz w:val="21"/>
              </w:rPr>
              <w:t>土工布卷在安装展开前要避免受到损坏。土工布卷应堆放于经平整不积水的地方，堆高不超过四卷的高度，并能看到卷的识别片。土工布卷必须用不透明材料覆盖以防紫外线老化。在储存过程中，要保持标签的完整和资料的完整。在运输过程中（包括现场从材料储存地到工作地的运输），土工布卷必须避免受到损坏。受到物理损坏的土工布卷必须要修复。受严重磨损的土工布不能使用。任何接触到泄漏化学试剂的土工布，不得使用在工程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2）土工布的铺设方法</w:t>
            </w:r>
          </w:p>
          <w:p>
            <w:pPr>
              <w:pStyle w:val="null3"/>
              <w:ind w:firstLine="420"/>
              <w:jc w:val="both"/>
            </w:pPr>
            <w:r>
              <w:rPr>
                <w:rFonts w:ascii="仿宋_GB2312" w:hAnsi="仿宋_GB2312" w:cs="仿宋_GB2312" w:eastAsia="仿宋_GB2312"/>
                <w:sz w:val="21"/>
              </w:rPr>
              <w:t>①铺土工布前，应将布下基面修平。</w:t>
            </w:r>
          </w:p>
          <w:p>
            <w:pPr>
              <w:pStyle w:val="null3"/>
              <w:ind w:firstLine="420"/>
              <w:jc w:val="both"/>
            </w:pPr>
            <w:r>
              <w:rPr>
                <w:rFonts w:ascii="仿宋_GB2312" w:hAnsi="仿宋_GB2312" w:cs="仿宋_GB2312" w:eastAsia="仿宋_GB2312"/>
                <w:sz w:val="21"/>
              </w:rPr>
              <w:t>②用人工滚铺；布面要平整，并适当留有变形余量。</w:t>
            </w:r>
          </w:p>
          <w:p>
            <w:pPr>
              <w:pStyle w:val="null3"/>
              <w:ind w:firstLine="420"/>
              <w:jc w:val="both"/>
            </w:pPr>
            <w:r>
              <w:rPr>
                <w:rFonts w:ascii="仿宋_GB2312" w:hAnsi="仿宋_GB2312" w:cs="仿宋_GB2312" w:eastAsia="仿宋_GB2312"/>
                <w:sz w:val="21"/>
              </w:rPr>
              <w:t>③土工布的安装采用缝合、搭接的方法。缝合宽度一般为 10cm 以上，搭接宽度一般为15cm以上。</w:t>
            </w:r>
          </w:p>
          <w:p>
            <w:pPr>
              <w:pStyle w:val="null3"/>
              <w:ind w:firstLine="420"/>
              <w:jc w:val="both"/>
            </w:pPr>
            <w:r>
              <w:rPr>
                <w:rFonts w:ascii="仿宋_GB2312" w:hAnsi="仿宋_GB2312" w:cs="仿宋_GB2312" w:eastAsia="仿宋_GB2312"/>
                <w:sz w:val="21"/>
              </w:rPr>
              <w:t>④土工布的缝合：所有的缝合必须要连续进行在重叠之前，土工布必须重叠最少15cm。最小缝针距离织边至少是2.5cm。用于缝合的线应为最小张力超过60N的树脂材料，并有与土工布相当或超出的抗化学腐蚀和抗紫外线能力。</w:t>
            </w:r>
          </w:p>
          <w:p>
            <w:pPr>
              <w:pStyle w:val="null3"/>
              <w:ind w:firstLine="420"/>
              <w:jc w:val="both"/>
            </w:pPr>
            <w:r>
              <w:rPr>
                <w:rFonts w:ascii="仿宋_GB2312" w:hAnsi="仿宋_GB2312" w:cs="仿宋_GB2312" w:eastAsia="仿宋_GB2312"/>
                <w:sz w:val="21"/>
              </w:rPr>
              <w:t>4.施工布置</w:t>
            </w:r>
          </w:p>
          <w:p>
            <w:pPr>
              <w:pStyle w:val="null3"/>
              <w:ind w:firstLine="420"/>
              <w:jc w:val="both"/>
            </w:pPr>
            <w:r>
              <w:rPr>
                <w:rFonts w:ascii="仿宋_GB2312" w:hAnsi="仿宋_GB2312" w:cs="仿宋_GB2312" w:eastAsia="仿宋_GB2312"/>
                <w:sz w:val="21"/>
              </w:rPr>
              <w:t>根据主要建筑物及布置，场地条件等因素，本着降低环境污染，有利生产，方便生活，易于管理，分散与集中相结合的原则，规划施工总体布置。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1）临时仓库</w:t>
            </w:r>
          </w:p>
          <w:p>
            <w:pPr>
              <w:pStyle w:val="null3"/>
              <w:ind w:firstLine="420"/>
              <w:jc w:val="both"/>
            </w:pPr>
            <w:r>
              <w:rPr>
                <w:rFonts w:ascii="仿宋_GB2312" w:hAnsi="仿宋_GB2312" w:cs="仿宋_GB2312" w:eastAsia="仿宋_GB2312"/>
                <w:sz w:val="21"/>
              </w:rPr>
              <w:t>临时仓库主要用于存放施工材料及工具，结合工程建设需要，本次租赁仓库</w:t>
            </w:r>
            <w:r>
              <w:rPr>
                <w:rFonts w:ascii="仿宋_GB2312" w:hAnsi="仿宋_GB2312" w:cs="仿宋_GB2312" w:eastAsia="仿宋_GB2312"/>
                <w:sz w:val="21"/>
              </w:rPr>
              <w:t>50m2，租期2个月。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2）临时房屋</w:t>
            </w:r>
          </w:p>
          <w:p>
            <w:pPr>
              <w:pStyle w:val="null3"/>
              <w:ind w:firstLine="420"/>
              <w:jc w:val="both"/>
            </w:pPr>
            <w:r>
              <w:rPr>
                <w:rFonts w:ascii="仿宋_GB2312" w:hAnsi="仿宋_GB2312" w:cs="仿宋_GB2312" w:eastAsia="仿宋_GB2312"/>
                <w:sz w:val="21"/>
              </w:rPr>
              <w:t>临时房屋主要供现场管理和施工人员使用，结合工程建设需要，本次租赁房屋</w:t>
            </w:r>
            <w:r>
              <w:rPr>
                <w:rFonts w:ascii="仿宋_GB2312" w:hAnsi="仿宋_GB2312" w:cs="仿宋_GB2312" w:eastAsia="仿宋_GB2312"/>
                <w:sz w:val="21"/>
              </w:rPr>
              <w:t>50m2，租期2个月。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3）临时道路</w:t>
            </w:r>
          </w:p>
          <w:p>
            <w:pPr>
              <w:pStyle w:val="null3"/>
              <w:ind w:firstLine="420"/>
              <w:jc w:val="both"/>
            </w:pPr>
            <w:r>
              <w:rPr>
                <w:rFonts w:ascii="仿宋_GB2312" w:hAnsi="仿宋_GB2312" w:cs="仿宋_GB2312" w:eastAsia="仿宋_GB2312"/>
                <w:sz w:val="21"/>
              </w:rPr>
              <w:t>新建临时道路沿皂河右岸布设，采用碎石路面，厚</w:t>
            </w:r>
            <w:r>
              <w:rPr>
                <w:rFonts w:ascii="仿宋_GB2312" w:hAnsi="仿宋_GB2312" w:cs="仿宋_GB2312" w:eastAsia="仿宋_GB2312"/>
                <w:sz w:val="21"/>
              </w:rPr>
              <w:t>0.3m，宽4m，总长420m，其中331.23m 长路面直接铺设4米宽的碎石，88.77m长道路施工时需将现状道路向河道外侧扩宽至6米后，在其上新建4米宽的碎石道路。扩宽回填时若为沙性土石，相对密度大于等于0.6，若为粘性土石，压实度大于等于0.91。临时道路后期用于日常巡查道路。</w:t>
            </w:r>
          </w:p>
          <w:p>
            <w:pPr>
              <w:pStyle w:val="null3"/>
              <w:jc w:val="both"/>
            </w:pPr>
            <w:r>
              <w:rPr>
                <w:rFonts w:ascii="仿宋_GB2312" w:hAnsi="仿宋_GB2312" w:cs="仿宋_GB2312" w:eastAsia="仿宋_GB2312"/>
                <w:sz w:val="21"/>
                <w:b/>
              </w:rPr>
              <w:t>六、工期及质量要求</w:t>
            </w:r>
          </w:p>
          <w:p>
            <w:pPr>
              <w:pStyle w:val="null3"/>
              <w:ind w:firstLine="420"/>
              <w:jc w:val="both"/>
            </w:pPr>
            <w:r>
              <w:rPr>
                <w:rFonts w:ascii="仿宋_GB2312" w:hAnsi="仿宋_GB2312" w:cs="仿宋_GB2312" w:eastAsia="仿宋_GB2312"/>
                <w:sz w:val="21"/>
              </w:rPr>
              <w:t>1、工</w:t>
            </w:r>
            <w:r>
              <w:rPr>
                <w:rFonts w:ascii="仿宋_GB2312" w:hAnsi="仿宋_GB2312" w:cs="仿宋_GB2312" w:eastAsia="仿宋_GB2312"/>
                <w:sz w:val="21"/>
              </w:rPr>
              <w:t>期：</w:t>
            </w:r>
            <w:r>
              <w:rPr>
                <w:rFonts w:ascii="仿宋_GB2312" w:hAnsi="仿宋_GB2312" w:cs="仿宋_GB2312" w:eastAsia="仿宋_GB2312"/>
                <w:sz w:val="21"/>
              </w:rPr>
              <w:t>60日历天。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质量要求：符合《水利水电建设工程验收规程》（</w:t>
            </w:r>
            <w:r>
              <w:rPr>
                <w:rFonts w:ascii="仿宋_GB2312" w:hAnsi="仿宋_GB2312" w:cs="仿宋_GB2312" w:eastAsia="仿宋_GB2312"/>
                <w:sz w:val="21"/>
              </w:rPr>
              <w:t>SL223-2008）合格标准。</w:t>
            </w:r>
          </w:p>
          <w:p>
            <w:pPr>
              <w:pStyle w:val="null3"/>
              <w:jc w:val="both"/>
            </w:pPr>
            <w:r>
              <w:rPr>
                <w:rFonts w:ascii="仿宋_GB2312" w:hAnsi="仿宋_GB2312" w:cs="仿宋_GB2312" w:eastAsia="仿宋_GB2312"/>
                <w:sz w:val="21"/>
                <w:b/>
              </w:rPr>
              <w:t>七、其他要求：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b/>
              </w:rPr>
              <w:t>.</w:t>
            </w:r>
            <w:r>
              <w:rPr>
                <w:rFonts w:ascii="仿宋_GB2312" w:hAnsi="仿宋_GB2312" w:cs="仿宋_GB2312" w:eastAsia="仿宋_GB2312"/>
                <w:sz w:val="21"/>
              </w:rPr>
              <w:t>本项目工程最高限价：</w:t>
            </w:r>
            <w:r>
              <w:rPr>
                <w:rFonts w:ascii="仿宋_GB2312" w:hAnsi="仿宋_GB2312" w:cs="仿宋_GB2312" w:eastAsia="仿宋_GB2312"/>
                <w:sz w:val="21"/>
              </w:rPr>
              <w:t>936800.00元，投标报价不得超过工程最高限价，否则按废标处理。</w:t>
            </w:r>
          </w:p>
          <w:p>
            <w:pPr>
              <w:pStyle w:val="null3"/>
              <w:ind w:firstLine="420"/>
              <w:jc w:val="both"/>
            </w:pPr>
            <w:r>
              <w:rPr>
                <w:rFonts w:ascii="仿宋_GB2312" w:hAnsi="仿宋_GB2312" w:cs="仿宋_GB2312" w:eastAsia="仿宋_GB2312"/>
                <w:sz w:val="21"/>
              </w:rPr>
              <w:t>2.采购预算包含：建筑施工、临时施工工程、工程保险费、基本预备费，其中基本预备费为40900元，此项费用用于对施工过程中可能发生的工程量清单遗漏、零星变更及其他不可预见的事项（据实结算），若未实际发生，则采购人无需支付。</w:t>
            </w:r>
          </w:p>
          <w:p>
            <w:pPr>
              <w:pStyle w:val="null3"/>
              <w:jc w:val="both"/>
            </w:pPr>
            <w:r>
              <w:rPr>
                <w:rFonts w:ascii="仿宋_GB2312" w:hAnsi="仿宋_GB2312" w:cs="仿宋_GB2312" w:eastAsia="仿宋_GB2312"/>
                <w:sz w:val="21"/>
                <w:b/>
              </w:rPr>
              <w:t>八</w:t>
            </w:r>
            <w:r>
              <w:rPr>
                <w:rFonts w:ascii="仿宋_GB2312" w:hAnsi="仿宋_GB2312" w:cs="仿宋_GB2312" w:eastAsia="仿宋_GB2312"/>
                <w:sz w:val="21"/>
                <w:b/>
              </w:rPr>
              <w:t>、付款</w:t>
            </w:r>
          </w:p>
          <w:p>
            <w:pPr>
              <w:pStyle w:val="null3"/>
              <w:ind w:firstLine="420"/>
              <w:jc w:val="both"/>
            </w:pPr>
            <w:r>
              <w:rPr>
                <w:rFonts w:ascii="仿宋_GB2312" w:hAnsi="仿宋_GB2312" w:cs="仿宋_GB2312" w:eastAsia="仿宋_GB2312"/>
                <w:sz w:val="21"/>
              </w:rPr>
              <w:t>1、付款比例：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1）签订合同且资金落实后7日内付合同金额的40%为预付款；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按照工程实施进度进行支付，工程完工后支付至合同金额的</w:t>
            </w:r>
            <w:r>
              <w:rPr>
                <w:rFonts w:ascii="仿宋_GB2312" w:hAnsi="仿宋_GB2312" w:cs="仿宋_GB2312" w:eastAsia="仿宋_GB2312"/>
                <w:sz w:val="21"/>
              </w:rPr>
              <w:t>85%;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待项目竣工验收合格且资金到位后，支付至财务竣工决算评审金额的</w:t>
            </w:r>
            <w:r>
              <w:rPr>
                <w:rFonts w:ascii="仿宋_GB2312" w:hAnsi="仿宋_GB2312" w:cs="仿宋_GB2312" w:eastAsia="仿宋_GB2312"/>
                <w:sz w:val="21"/>
              </w:rPr>
              <w:t>100%，且中标方的质量保修承诺，须在采购人支付结算款前，向采购人提交一份合同金额3%的银行保函或质保金。</w:t>
            </w:r>
          </w:p>
          <w:p>
            <w:pPr>
              <w:pStyle w:val="null3"/>
              <w:ind w:firstLine="420"/>
              <w:jc w:val="both"/>
            </w:pPr>
            <w:r>
              <w:rPr>
                <w:rFonts w:ascii="仿宋_GB2312" w:hAnsi="仿宋_GB2312" w:cs="仿宋_GB2312" w:eastAsia="仿宋_GB2312"/>
                <w:sz w:val="21"/>
              </w:rPr>
              <w:t>2、结算方式：银行转账。</w:t>
            </w:r>
          </w:p>
          <w:p>
            <w:pPr>
              <w:pStyle w:val="null3"/>
            </w:pPr>
            <w:r>
              <w:rPr>
                <w:rFonts w:ascii="仿宋_GB2312" w:hAnsi="仿宋_GB2312" w:cs="仿宋_GB2312" w:eastAsia="仿宋_GB2312"/>
                <w:sz w:val="21"/>
              </w:rPr>
              <w:t>3、结算单位：由采购人负责结算，供应商开具合同总价数的全额发票交采购人</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陕水规计发〔2024〕107号文，陕西省水利厅关于发布《陕西省水利工程设计概(估)算编制规定》（2024年修正）、《陕西省水利建筑工程概算定额》（2024年修正）、《陕西省水利工程施工机械台班费定额》（2024年修正）；等计价依据的通知； 2.不足部分采用相关定额进行补充。</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满足国家及行业的相关规定。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3.本项目所属行业为建筑业。营业收入80000万元以下或资产总额80000万元以下的为 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工程量清单.xlsx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已标价工程量清单 中小企业声明函 供应商应提交的相关资格证明材料 供应商资格证明材料.docx 方案.docx 强制优先采购产品承诺函 响应文件封面 技术条款偏离表.docx 工程量清单.xlsx 项目管理机构组成表 主要人员简历表.docx 残疾人福利性单位声明函 报价函 标的清单 响应函 商务条款偏离表.docx 监狱企业的证明文件 公司业绩.docx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满足本磋商文件中的实质性条款（工期、工程质量、建设地点）要求的。</w:t>
            </w:r>
          </w:p>
        </w:tc>
        <w:tc>
          <w:tcPr>
            <w:tcW w:type="dxa" w:w="1661"/>
          </w:tcPr>
          <w:p>
            <w:pPr>
              <w:pStyle w:val="null3"/>
            </w:pPr>
            <w:r>
              <w:rPr>
                <w:rFonts w:ascii="仿宋_GB2312" w:hAnsi="仿宋_GB2312" w:cs="仿宋_GB2312" w:eastAsia="仿宋_GB2312"/>
              </w:rPr>
              <w:t>响应文件封面 已标价工程量清单 工程量清单.xlsx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供应商近3年(自2023年1月1日至今)类似项目业绩，完成一个业绩得2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主要人员简历表.docx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工程量清单.xlsx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详见附件：工程量清单.xlsx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详见附件：公司业绩.docx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