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版本号：SXHJZB-2026-0120260127002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室外及部分公寓（康复楼及三区公寓）楼内消防设施维修更新项目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SXHJZB-2026-01</w:t>
      </w:r>
      <w:r>
        <w:br/>
      </w:r>
      <w:r>
        <w:br/>
      </w:r>
      <w:r>
        <w:br/>
      </w:r>
    </w:p>
    <w:p>
      <w:pPr>
        <w:pStyle w:val="null3"/>
        <w:jc w:val="center"/>
        <w:outlineLvl w:val="2"/>
      </w:pPr>
      <w:r>
        <w:rPr>
          <w:rFonts w:ascii="仿宋_GB2312" w:hAnsi="仿宋_GB2312" w:cs="仿宋_GB2312" w:eastAsia="仿宋_GB2312"/>
          <w:sz w:val="28"/>
          <w:b/>
        </w:rPr>
        <w:t>西安市第二社会福利院</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西安市第二社会福利院</w:t>
      </w:r>
      <w:r>
        <w:rPr>
          <w:rFonts w:ascii="仿宋_GB2312" w:hAnsi="仿宋_GB2312" w:cs="仿宋_GB2312" w:eastAsia="仿宋_GB2312"/>
        </w:rPr>
        <w:t>委托，拟对</w:t>
      </w:r>
      <w:r>
        <w:rPr>
          <w:rFonts w:ascii="仿宋_GB2312" w:hAnsi="仿宋_GB2312" w:cs="仿宋_GB2312" w:eastAsia="仿宋_GB2312"/>
        </w:rPr>
        <w:t>室外及部分公寓（康复楼及三区公寓）楼内消防设施维修更新项目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SXHJZB-2026-01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室外及部分公寓（康复楼及三区公寓）楼内消防设施维修更新项目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室外及部分公寓（康复楼及三区公寓）楼内消防设施维修更新项目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采购包1（室外及部分公寓（康复楼及三区公寓）楼内消防设施维修更新项目）：属于专门面向中小企业采购。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3、社保缴纳证明：提供首次磋商响应文件递交截止时间前6个月内任意一个月的缴纳证明。依法不需要缴纳社会保障资金的供应商应提供相关文件证明；</w:t>
      </w:r>
    </w:p>
    <w:p>
      <w:pPr>
        <w:pStyle w:val="null3"/>
      </w:pPr>
      <w:r>
        <w:rPr>
          <w:rFonts w:ascii="仿宋_GB2312" w:hAnsi="仿宋_GB2312" w:cs="仿宋_GB2312" w:eastAsia="仿宋_GB2312"/>
        </w:rPr>
        <w:t>4、税收缴纳证明：提供首次磋商响应文件递交截止时间前6个月内任意一个月的纳税证明或完税证明（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9、资质证书：供应商须具有建设行政主管部门颁发的消防设施工程专业承包二级（含二级）及以上资质，且具有有效的安全生产许可证；</w:t>
      </w:r>
    </w:p>
    <w:p>
      <w:pPr>
        <w:pStyle w:val="null3"/>
      </w:pPr>
      <w:r>
        <w:rPr>
          <w:rFonts w:ascii="仿宋_GB2312" w:hAnsi="仿宋_GB2312" w:cs="仿宋_GB2312" w:eastAsia="仿宋_GB2312"/>
        </w:rPr>
        <w:t>10、项目经理：拟派项目经理须具有机电工程专业二级及以上（含二级）注册建造师证书和有效的安全生产考核合格证书（建安B证）且应提供项目经理无在建工程承诺书；</w:t>
      </w:r>
    </w:p>
    <w:p>
      <w:pPr>
        <w:pStyle w:val="null3"/>
      </w:pPr>
      <w:r>
        <w:rPr>
          <w:rFonts w:ascii="仿宋_GB2312" w:hAnsi="仿宋_GB2312" w:cs="仿宋_GB2312" w:eastAsia="仿宋_GB2312"/>
        </w:rPr>
        <w:t>11、信用记录声明：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提供《供应商信用记录书面声明函》及截图。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12、控股管理关系：单位负责人为同一人或者存在直接控股、管理关系的供应商，不得参加同一合同下的政府采购活动；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13、本项目不接受联合体响应，不允许分包：供应商提供《非联合体、不分包投标声明》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15339128237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15309262087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成交供应商在领取《成交通知书》前，须向采购代理机构一次性支付招标代理服务费。 开户名称：陕西华璟项目管理有限公司 开 户 行：中国工商银行股份有限公司西安高新技术开发区支行 账 号：3700024609200529721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西安市第二社会福利院</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西安市第二社会福利院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联系人：陈普</w:t>
      </w:r>
    </w:p>
    <w:p>
      <w:pPr>
        <w:pStyle w:val="null3"/>
      </w:pPr>
      <w:r>
        <w:rPr>
          <w:rFonts w:ascii="仿宋_GB2312" w:hAnsi="仿宋_GB2312" w:cs="仿宋_GB2312" w:eastAsia="仿宋_GB2312"/>
        </w:rPr>
        <w:t>联系电话：15309262087</w:t>
      </w:r>
    </w:p>
    <w:p>
      <w:pPr>
        <w:pStyle w:val="null3"/>
      </w:pPr>
      <w:r>
        <w:rPr>
          <w:rFonts w:ascii="仿宋_GB2312" w:hAnsi="仿宋_GB2312" w:cs="仿宋_GB2312" w:eastAsia="仿宋_GB2312"/>
        </w:rPr>
        <w:t>地址：陕西省西安市高新区沣惠南路与科技二路交叉路口西南侧泰华金贸国际6号楼902室</w:t>
      </w:r>
    </w:p>
    <w:p>
      <w:pPr>
        <w:pStyle w:val="null3"/>
      </w:pPr>
      <w:r>
        <w:rPr>
          <w:rFonts w:ascii="仿宋_GB2312" w:hAnsi="仿宋_GB2312" w:cs="仿宋_GB2312" w:eastAsia="仿宋_GB2312"/>
        </w:rPr>
        <w:t>邮编：710086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3,585,000.00</w:t>
      </w:r>
    </w:p>
    <w:p>
      <w:pPr>
        <w:pStyle w:val="null3"/>
      </w:pPr>
      <w:r>
        <w:rPr>
          <w:rFonts w:ascii="仿宋_GB2312" w:hAnsi="仿宋_GB2312" w:cs="仿宋_GB2312" w:eastAsia="仿宋_GB2312"/>
        </w:rPr>
        <w:t>采购包最高限价（元）: 3,584,862.03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消防设施维修更新工程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3,585,000.00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标的名称：消防设施维修更新工程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w:t>
            </w:r>
            <w:r>
              <w:rPr>
                <w:rFonts w:ascii="仿宋_GB2312" w:hAnsi="仿宋_GB2312" w:cs="仿宋_GB2312" w:eastAsia="仿宋_GB2312"/>
                <w:sz w:val="22"/>
              </w:rPr>
              <w:t>项目概况</w:t>
            </w:r>
          </w:p>
          <w:p>
            <w:pPr>
              <w:pStyle w:val="null3"/>
              <w:ind w:firstLine="482"/>
              <w:jc w:val="both"/>
            </w:pPr>
            <w:r>
              <w:rPr>
                <w:rFonts w:ascii="仿宋_GB2312" w:hAnsi="仿宋_GB2312" w:cs="仿宋_GB2312" w:eastAsia="仿宋_GB2312"/>
                <w:sz w:val="22"/>
              </w:rPr>
              <w:t>根据《陕西省住房和城乡建设厅关于加强</w:t>
            </w:r>
            <w:r>
              <w:rPr>
                <w:rFonts w:ascii="仿宋_GB2312" w:hAnsi="仿宋_GB2312" w:cs="仿宋_GB2312" w:eastAsia="仿宋_GB2312"/>
                <w:sz w:val="22"/>
              </w:rPr>
              <w:t>“已交楼未进行消防验收”三年攻坚行动整治工作的通知》（陕建消发〔2024〕8号）的相关内容，现对室外及部分公寓（康复楼及三区公寓）楼内消防设施维修更新进行招标，主要施工内容为消控室消防工程、康复楼消防工程、发电机房工程、一体化泵站、三区公寓楼工程、室外工程等，维修更新后需在住建部门完成销号。</w:t>
            </w:r>
          </w:p>
          <w:p>
            <w:pPr>
              <w:pStyle w:val="null3"/>
              <w:ind w:firstLine="482"/>
              <w:jc w:val="both"/>
            </w:pPr>
            <w:r>
              <w:rPr>
                <w:rFonts w:ascii="仿宋_GB2312" w:hAnsi="仿宋_GB2312" w:cs="仿宋_GB2312" w:eastAsia="仿宋_GB2312"/>
                <w:sz w:val="22"/>
              </w:rPr>
              <w:t>（二）项目最高限价：</w:t>
            </w:r>
            <w:r>
              <w:rPr>
                <w:rFonts w:ascii="仿宋_GB2312" w:hAnsi="仿宋_GB2312" w:cs="仿宋_GB2312" w:eastAsia="仿宋_GB2312"/>
                <w:sz w:val="22"/>
              </w:rPr>
              <w:t>3584862.03元，磋商报价不得高于本项目的最高限价。</w:t>
            </w:r>
          </w:p>
          <w:p>
            <w:pPr>
              <w:pStyle w:val="null3"/>
              <w:ind w:firstLine="482"/>
              <w:jc w:val="both"/>
            </w:pPr>
            <w:r>
              <w:rPr>
                <w:rFonts w:ascii="仿宋_GB2312" w:hAnsi="仿宋_GB2312" w:cs="仿宋_GB2312" w:eastAsia="仿宋_GB2312"/>
                <w:sz w:val="22"/>
              </w:rPr>
              <w:t>（三）采购内容</w:t>
            </w:r>
          </w:p>
          <w:p>
            <w:pPr>
              <w:pStyle w:val="null3"/>
              <w:ind w:firstLine="482"/>
              <w:jc w:val="both"/>
            </w:pPr>
            <w:r>
              <w:rPr>
                <w:rFonts w:ascii="仿宋_GB2312" w:hAnsi="仿宋_GB2312" w:cs="仿宋_GB2312" w:eastAsia="仿宋_GB2312"/>
                <w:sz w:val="22"/>
              </w:rPr>
              <w:t>具体详见工程量清单。</w:t>
            </w:r>
          </w:p>
          <w:p>
            <w:pPr>
              <w:pStyle w:val="null3"/>
              <w:ind w:firstLine="482"/>
              <w:jc w:val="both"/>
            </w:pPr>
            <w:r>
              <w:rPr>
                <w:rFonts w:ascii="仿宋_GB2312" w:hAnsi="仿宋_GB2312" w:cs="仿宋_GB2312" w:eastAsia="仿宋_GB2312"/>
                <w:sz w:val="22"/>
              </w:rPr>
              <w:t>（四）编制依据</w:t>
            </w:r>
          </w:p>
          <w:p>
            <w:pPr>
              <w:pStyle w:val="null3"/>
              <w:ind w:firstLine="482"/>
              <w:jc w:val="both"/>
            </w:pPr>
            <w:r>
              <w:rPr>
                <w:rFonts w:ascii="仿宋_GB2312" w:hAnsi="仿宋_GB2312" w:cs="仿宋_GB2312" w:eastAsia="仿宋_GB2312"/>
                <w:sz w:val="22"/>
              </w:rPr>
              <w:t>1.本工程的设计图纸；</w:t>
            </w:r>
          </w:p>
          <w:p>
            <w:pPr>
              <w:pStyle w:val="null3"/>
              <w:ind w:firstLine="482"/>
              <w:jc w:val="both"/>
            </w:pPr>
            <w:r>
              <w:rPr>
                <w:rFonts w:ascii="仿宋_GB2312" w:hAnsi="仿宋_GB2312" w:cs="仿宋_GB2312" w:eastAsia="仿宋_GB2312"/>
                <w:sz w:val="22"/>
              </w:rPr>
              <w:t>2.依据正常的施工组织设计及施工方法；</w:t>
            </w:r>
          </w:p>
          <w:p>
            <w:pPr>
              <w:pStyle w:val="null3"/>
              <w:ind w:firstLine="482"/>
              <w:jc w:val="both"/>
            </w:pPr>
            <w:r>
              <w:rPr>
                <w:rFonts w:ascii="仿宋_GB2312" w:hAnsi="仿宋_GB2312" w:cs="仿宋_GB2312" w:eastAsia="仿宋_GB2312"/>
                <w:sz w:val="22"/>
              </w:rPr>
              <w:t>3.施工图设计中采用的相关规范、标准、技术资料；</w:t>
            </w:r>
          </w:p>
          <w:p>
            <w:pPr>
              <w:pStyle w:val="null3"/>
              <w:ind w:firstLine="482"/>
              <w:jc w:val="both"/>
            </w:pPr>
            <w:r>
              <w:rPr>
                <w:rFonts w:ascii="仿宋_GB2312" w:hAnsi="仿宋_GB2312" w:cs="仿宋_GB2312" w:eastAsia="仿宋_GB2312"/>
                <w:sz w:val="22"/>
              </w:rPr>
              <w:t>4.《陕西省建设工程工程量清单计价标准》（2025）、《陕西省房屋建筑与装饰工程工程量计算标准》（2025）、《陕西省通用安装工程工程量计算标准》（2025）、《陕西省房屋建筑与装饰工程消耗量定额》（2025）、《陕西省通用安装工程消耗量定额》（2025）、《陕西省建设工程施工机械台班费用定额》（2025）、《陕西省建设工程施工仪器仪表台班费用定额》（2025）、《陕西省房屋建筑与装饰工程基价表》（2025）、《陕西省通用安装工程基价表》（2025）；</w:t>
            </w:r>
          </w:p>
          <w:p>
            <w:pPr>
              <w:pStyle w:val="null3"/>
              <w:ind w:firstLine="482"/>
              <w:jc w:val="both"/>
            </w:pPr>
            <w:r>
              <w:rPr>
                <w:rFonts w:ascii="仿宋_GB2312" w:hAnsi="仿宋_GB2312" w:cs="仿宋_GB2312" w:eastAsia="仿宋_GB2312"/>
                <w:sz w:val="22"/>
              </w:rPr>
              <w:t>5.陕西省住房和城乡建设厅《关于印发2025陕西省建设工程费用规则等计价依据的通知》陕建管发〔2025〕10号文；</w:t>
            </w:r>
          </w:p>
          <w:p>
            <w:pPr>
              <w:pStyle w:val="null3"/>
              <w:ind w:firstLine="482"/>
              <w:jc w:val="both"/>
            </w:pPr>
            <w:r>
              <w:rPr>
                <w:rFonts w:ascii="仿宋_GB2312" w:hAnsi="仿宋_GB2312" w:cs="仿宋_GB2312" w:eastAsia="仿宋_GB2312"/>
                <w:sz w:val="22"/>
              </w:rPr>
              <w:t>6.西安市第二社会福利院建设工程消防技术指导服务函；</w:t>
            </w:r>
          </w:p>
          <w:p>
            <w:pPr>
              <w:pStyle w:val="null3"/>
              <w:ind w:firstLine="482"/>
              <w:jc w:val="both"/>
            </w:pPr>
            <w:r>
              <w:rPr>
                <w:rFonts w:ascii="仿宋_GB2312" w:hAnsi="仿宋_GB2312" w:cs="仿宋_GB2312" w:eastAsia="仿宋_GB2312"/>
                <w:sz w:val="22"/>
              </w:rPr>
              <w:t>7.增值税按一般计税9%计取；</w:t>
            </w:r>
          </w:p>
          <w:p>
            <w:pPr>
              <w:pStyle w:val="null3"/>
              <w:ind w:firstLine="482"/>
              <w:jc w:val="both"/>
            </w:pPr>
            <w:r>
              <w:rPr>
                <w:rFonts w:ascii="仿宋_GB2312" w:hAnsi="仿宋_GB2312" w:cs="仿宋_GB2312" w:eastAsia="仿宋_GB2312"/>
                <w:sz w:val="22"/>
              </w:rPr>
              <w:t>8.材料价格参照《陕西工程造价信息》2025年11月信息价，信息价未涉及的参照同期市场价；</w:t>
            </w:r>
          </w:p>
          <w:p>
            <w:pPr>
              <w:pStyle w:val="null3"/>
              <w:ind w:firstLine="482"/>
              <w:jc w:val="both"/>
            </w:pPr>
            <w:r>
              <w:rPr>
                <w:rFonts w:ascii="仿宋_GB2312" w:hAnsi="仿宋_GB2312" w:cs="仿宋_GB2312" w:eastAsia="仿宋_GB2312"/>
                <w:sz w:val="22"/>
              </w:rPr>
              <w:t>9.被审计单位送审的预算书。</w:t>
            </w:r>
          </w:p>
          <w:p>
            <w:pPr>
              <w:pStyle w:val="null3"/>
              <w:ind w:firstLine="482"/>
              <w:jc w:val="both"/>
            </w:pPr>
            <w:r>
              <w:rPr>
                <w:rFonts w:ascii="仿宋_GB2312" w:hAnsi="仿宋_GB2312" w:cs="仿宋_GB2312" w:eastAsia="仿宋_GB2312"/>
                <w:sz w:val="22"/>
              </w:rPr>
              <w:t>（五）商务要求</w:t>
            </w:r>
          </w:p>
          <w:p>
            <w:pPr>
              <w:pStyle w:val="null3"/>
              <w:ind w:firstLine="482"/>
              <w:jc w:val="both"/>
            </w:pPr>
            <w:r>
              <w:rPr>
                <w:rFonts w:ascii="仿宋_GB2312" w:hAnsi="仿宋_GB2312" w:cs="仿宋_GB2312" w:eastAsia="仿宋_GB2312"/>
                <w:sz w:val="22"/>
              </w:rPr>
              <w:t>1.工期：120日历天</w:t>
            </w:r>
          </w:p>
          <w:p>
            <w:pPr>
              <w:pStyle w:val="null3"/>
              <w:ind w:firstLine="482"/>
              <w:jc w:val="both"/>
            </w:pPr>
            <w:r>
              <w:rPr>
                <w:rFonts w:ascii="仿宋_GB2312" w:hAnsi="仿宋_GB2312" w:cs="仿宋_GB2312" w:eastAsia="仿宋_GB2312"/>
                <w:sz w:val="22"/>
              </w:rPr>
              <w:t>2.工程地点：西安市第二社会福利院指定地点</w:t>
            </w:r>
          </w:p>
          <w:p>
            <w:pPr>
              <w:pStyle w:val="null3"/>
              <w:ind w:firstLine="482"/>
              <w:jc w:val="both"/>
            </w:pPr>
            <w:r>
              <w:rPr>
                <w:rFonts w:ascii="仿宋_GB2312" w:hAnsi="仿宋_GB2312" w:cs="仿宋_GB2312" w:eastAsia="仿宋_GB2312"/>
                <w:sz w:val="22"/>
              </w:rPr>
              <w:t>3.质保期：符合行业规范要求</w:t>
            </w:r>
          </w:p>
          <w:p>
            <w:pPr>
              <w:pStyle w:val="null3"/>
              <w:ind w:firstLine="482"/>
              <w:jc w:val="both"/>
            </w:pPr>
            <w:r>
              <w:rPr>
                <w:rFonts w:ascii="仿宋_GB2312" w:hAnsi="仿宋_GB2312" w:cs="仿宋_GB2312" w:eastAsia="仿宋_GB2312"/>
                <w:sz w:val="22"/>
              </w:rPr>
              <w:t>4.质量要求：达到国家现行行业施工验收规范“合格”标准</w:t>
            </w:r>
          </w:p>
          <w:p>
            <w:pPr>
              <w:pStyle w:val="null3"/>
              <w:ind w:firstLine="482"/>
              <w:jc w:val="both"/>
            </w:pPr>
            <w:r>
              <w:rPr>
                <w:rFonts w:ascii="仿宋_GB2312" w:hAnsi="仿宋_GB2312" w:cs="仿宋_GB2312" w:eastAsia="仿宋_GB2312"/>
                <w:sz w:val="22"/>
              </w:rPr>
              <w:t>5.付款方式：</w:t>
            </w:r>
          </w:p>
          <w:p>
            <w:pPr>
              <w:pStyle w:val="null3"/>
              <w:ind w:firstLine="482"/>
              <w:jc w:val="both"/>
            </w:pPr>
            <w:r>
              <w:rPr>
                <w:rFonts w:ascii="仿宋_GB2312" w:hAnsi="仿宋_GB2312" w:cs="仿宋_GB2312" w:eastAsia="仿宋_GB2312"/>
                <w:sz w:val="22"/>
              </w:rPr>
              <w:t>工程进度款支付：</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1）合同签订且财政资金拨付到位后30日内，采购人向成交供应商支付合同总价款的40%作为工程预付款。</w:t>
            </w:r>
          </w:p>
          <w:p>
            <w:pPr>
              <w:pStyle w:val="null3"/>
              <w:ind w:firstLine="482"/>
              <w:jc w:val="both"/>
            </w:pPr>
            <w:r>
              <w:rPr>
                <w:rFonts w:ascii="仿宋_GB2312" w:hAnsi="仿宋_GB2312" w:cs="仿宋_GB2312" w:eastAsia="仿宋_GB2312"/>
                <w:sz w:val="22"/>
              </w:rPr>
              <w:t>（</w:t>
            </w:r>
            <w:r>
              <w:rPr>
                <w:rFonts w:ascii="仿宋_GB2312" w:hAnsi="仿宋_GB2312" w:cs="仿宋_GB2312" w:eastAsia="仿宋_GB2312"/>
                <w:sz w:val="22"/>
              </w:rPr>
              <w:t>2）施工完成后，供应商提交竣工验收合格证明资料，采购人结算审核完成后，自结算审核完成后30日内，支付至结算审核金额的100%。</w:t>
            </w:r>
          </w:p>
          <w:p>
            <w:pPr>
              <w:pStyle w:val="null3"/>
              <w:ind w:firstLine="482"/>
              <w:jc w:val="both"/>
            </w:pPr>
            <w:r>
              <w:rPr>
                <w:rFonts w:ascii="仿宋_GB2312" w:hAnsi="仿宋_GB2312" w:cs="仿宋_GB2312" w:eastAsia="仿宋_GB2312"/>
                <w:sz w:val="22"/>
              </w:rPr>
              <w:t>（</w:t>
            </w:r>
            <w:r>
              <w:rPr>
                <w:rFonts w:ascii="仿宋_GB2312" w:hAnsi="仿宋_GB2312" w:cs="仿宋_GB2312" w:eastAsia="仿宋_GB2312"/>
                <w:sz w:val="22"/>
              </w:rPr>
              <w:t>3）采购人每次付款前，成交供应商需向采购人开具等额、合法、有效的发票，否则采购人有权暂缓支付款项且不视为违约，由此造成的损失由成交供应商承担。</w:t>
            </w:r>
          </w:p>
          <w:p>
            <w:pPr>
              <w:pStyle w:val="null3"/>
              <w:jc w:val="both"/>
            </w:pPr>
            <w:r>
              <w:rPr>
                <w:rFonts w:ascii="仿宋_GB2312" w:hAnsi="仿宋_GB2312" w:cs="仿宋_GB2312" w:eastAsia="仿宋_GB2312"/>
                <w:sz w:val="22"/>
              </w:rPr>
              <w:t>（六）其他要求</w:t>
            </w:r>
          </w:p>
          <w:p>
            <w:pPr>
              <w:pStyle w:val="null3"/>
              <w:ind w:firstLine="482"/>
              <w:jc w:val="both"/>
            </w:pPr>
            <w:r>
              <w:rPr>
                <w:rFonts w:ascii="仿宋_GB2312" w:hAnsi="仿宋_GB2312" w:cs="仿宋_GB2312" w:eastAsia="仿宋_GB2312"/>
                <w:sz w:val="22"/>
              </w:rPr>
              <w:t>（七）工程技术标准及要求</w:t>
            </w:r>
          </w:p>
          <w:p>
            <w:pPr>
              <w:pStyle w:val="null3"/>
              <w:ind w:firstLine="482"/>
              <w:jc w:val="both"/>
            </w:pPr>
            <w:r>
              <w:rPr>
                <w:rFonts w:ascii="仿宋_GB2312" w:hAnsi="仿宋_GB2312" w:cs="仿宋_GB2312" w:eastAsia="仿宋_GB2312"/>
                <w:sz w:val="22"/>
              </w:rPr>
              <w:t>1.规范要求</w:t>
            </w:r>
          </w:p>
          <w:p>
            <w:pPr>
              <w:pStyle w:val="null3"/>
              <w:ind w:firstLine="482"/>
              <w:jc w:val="both"/>
            </w:pPr>
            <w:r>
              <w:rPr>
                <w:rFonts w:ascii="仿宋_GB2312" w:hAnsi="仿宋_GB2312" w:cs="仿宋_GB2312" w:eastAsia="仿宋_GB2312"/>
                <w:sz w:val="22"/>
              </w:rPr>
              <w:t>依据技术规范要求，本工程项目的材料、设备、施工必须达到现行中华人民共和国及省、市、行业的一切有关法规、规范的要求，如标准及规范要求有出入则以较严格者为准，如有不足之处或未能达到国家最新标准时，供应商应使施工及选用的设备和材料符合最新版本的国家标准、规范。</w:t>
            </w:r>
          </w:p>
          <w:p>
            <w:pPr>
              <w:pStyle w:val="null3"/>
              <w:ind w:firstLine="482"/>
              <w:jc w:val="both"/>
            </w:pPr>
            <w:r>
              <w:rPr>
                <w:rFonts w:ascii="仿宋_GB2312" w:hAnsi="仿宋_GB2312" w:cs="仿宋_GB2312" w:eastAsia="仿宋_GB2312"/>
                <w:sz w:val="22"/>
              </w:rPr>
              <w:t>2.施工要求</w:t>
            </w:r>
          </w:p>
          <w:p>
            <w:pPr>
              <w:pStyle w:val="null3"/>
              <w:ind w:firstLine="482"/>
              <w:jc w:val="both"/>
            </w:pPr>
            <w:r>
              <w:rPr>
                <w:rFonts w:ascii="仿宋_GB2312" w:hAnsi="仿宋_GB2312" w:cs="仿宋_GB2312" w:eastAsia="仿宋_GB2312"/>
                <w:sz w:val="22"/>
              </w:rPr>
              <w:t>2.1本工程施工严格按照规范要求进行施工，达到各项拟定指标，确保工程质量达到国家强制性合格标准。</w:t>
            </w:r>
          </w:p>
          <w:p>
            <w:pPr>
              <w:pStyle w:val="null3"/>
              <w:ind w:firstLine="482"/>
              <w:jc w:val="both"/>
            </w:pPr>
            <w:r>
              <w:rPr>
                <w:rFonts w:ascii="仿宋_GB2312" w:hAnsi="仿宋_GB2312" w:cs="仿宋_GB2312" w:eastAsia="仿宋_GB2312"/>
                <w:sz w:val="22"/>
              </w:rPr>
              <w:t>2.2本工程使用的材料必须符合国家相关质量标准，材料进场前，乙方（施工方）须向甲方（建设方）及监理方提交完整的质量合格检验证明资料，甲方、监理方须对乙方提交的资料进行审核，必要时可现场抽样复检；审核合格后，由施工方、监理方、建设方三方签字确认，材料方可进场投入使用；未提供合格证明资料、资料审核不合格或未经三方签字确认的材料，一律不得进场，乙方须自行负责清退及相关损失。</w:t>
            </w:r>
          </w:p>
          <w:p>
            <w:pPr>
              <w:pStyle w:val="null3"/>
              <w:ind w:firstLine="482"/>
              <w:jc w:val="both"/>
            </w:pPr>
            <w:r>
              <w:rPr>
                <w:rFonts w:ascii="仿宋_GB2312" w:hAnsi="仿宋_GB2312" w:cs="仿宋_GB2312" w:eastAsia="仿宋_GB2312"/>
                <w:sz w:val="22"/>
              </w:rPr>
              <w:t>2.3涉及隐蔽工程的，在工程隐蔽前，乙方应当通知甲方委托的监理单位到场验收，验收合格后方可进行下一道工序；验收不合格的，乙方应整改后重新验收。</w:t>
            </w:r>
          </w:p>
          <w:p>
            <w:pPr>
              <w:pStyle w:val="null3"/>
              <w:ind w:firstLine="482"/>
              <w:jc w:val="both"/>
            </w:pPr>
            <w:r>
              <w:rPr>
                <w:rFonts w:ascii="仿宋_GB2312" w:hAnsi="仿宋_GB2312" w:cs="仿宋_GB2312" w:eastAsia="仿宋_GB2312"/>
                <w:sz w:val="22"/>
              </w:rPr>
              <w:t>2.4在质量保修期内，成交供应商对有缺陷的部位必须无偿地给予修理与更换，并承担一切由此引起的对采购人或第三者的直接损失。</w:t>
            </w:r>
          </w:p>
          <w:p>
            <w:pPr>
              <w:pStyle w:val="null3"/>
              <w:ind w:firstLine="482"/>
              <w:jc w:val="both"/>
            </w:pPr>
            <w:r>
              <w:rPr>
                <w:rFonts w:ascii="仿宋_GB2312" w:hAnsi="仿宋_GB2312" w:cs="仿宋_GB2312" w:eastAsia="仿宋_GB2312"/>
                <w:sz w:val="22"/>
              </w:rPr>
              <w:t>2.5供应商必须对所承包的工程的质量负全部责任，其责任不因其他材料生产商提供的保证书而减轻或更改。</w:t>
            </w:r>
          </w:p>
          <w:p>
            <w:pPr>
              <w:pStyle w:val="null3"/>
              <w:ind w:firstLine="482"/>
              <w:jc w:val="both"/>
            </w:pPr>
            <w:r>
              <w:rPr>
                <w:rFonts w:ascii="仿宋_GB2312" w:hAnsi="仿宋_GB2312" w:cs="仿宋_GB2312" w:eastAsia="仿宋_GB2312"/>
                <w:sz w:val="22"/>
              </w:rPr>
              <w:t>2.6施工时注意做好必要的劳动保护工作。</w:t>
            </w:r>
          </w:p>
          <w:p>
            <w:pPr>
              <w:pStyle w:val="null3"/>
              <w:ind w:firstLine="482"/>
              <w:jc w:val="both"/>
            </w:pPr>
            <w:r>
              <w:rPr>
                <w:rFonts w:ascii="仿宋_GB2312" w:hAnsi="仿宋_GB2312" w:cs="仿宋_GB2312" w:eastAsia="仿宋_GB2312"/>
                <w:sz w:val="22"/>
              </w:rPr>
              <w:t>2.7本工程施工期间必须注意防尘降噪，并须将集中施工区域和人员工作区域进行适当隔离，尽可能把对人员工作造成的负面影响减到最小。</w:t>
            </w:r>
          </w:p>
          <w:p>
            <w:pPr>
              <w:pStyle w:val="null3"/>
              <w:ind w:firstLine="482"/>
              <w:jc w:val="both"/>
            </w:pPr>
            <w:r>
              <w:rPr>
                <w:rFonts w:ascii="仿宋_GB2312" w:hAnsi="仿宋_GB2312" w:cs="仿宋_GB2312" w:eastAsia="仿宋_GB2312"/>
                <w:sz w:val="22"/>
              </w:rPr>
              <w:t>3.工程管理要求</w:t>
            </w:r>
          </w:p>
          <w:p>
            <w:pPr>
              <w:pStyle w:val="null3"/>
              <w:ind w:firstLine="482"/>
              <w:jc w:val="both"/>
            </w:pPr>
            <w:r>
              <w:rPr>
                <w:rFonts w:ascii="仿宋_GB2312" w:hAnsi="仿宋_GB2312" w:cs="仿宋_GB2312" w:eastAsia="仿宋_GB2312"/>
                <w:sz w:val="22"/>
              </w:rPr>
              <w:t>3.1本工程采购范围内的工程项目，未经采购人同意一律不得分包。一经发现立即取消承包资格，作违约处理，并承担由此引起的一切经济损失。</w:t>
            </w:r>
          </w:p>
          <w:p>
            <w:pPr>
              <w:pStyle w:val="null3"/>
              <w:ind w:firstLine="482"/>
              <w:jc w:val="both"/>
            </w:pPr>
            <w:r>
              <w:rPr>
                <w:rFonts w:ascii="仿宋_GB2312" w:hAnsi="仿宋_GB2312" w:cs="仿宋_GB2312" w:eastAsia="仿宋_GB2312"/>
                <w:sz w:val="22"/>
              </w:rPr>
              <w:t>3.2供应商应严格按已确认施工技术方案组织施工，并无条件地接受采购人代表对施工质量的监督和管理。施工过程中，施工方必须严格把关，按照相应规范标准要求施工，如出现不符合标准要求的情况，施工方必须无条件返工，直至达到规范标准要求。所发生的费用均由施工方承担。</w:t>
            </w:r>
          </w:p>
          <w:p>
            <w:pPr>
              <w:pStyle w:val="null3"/>
              <w:ind w:firstLine="482"/>
              <w:jc w:val="both"/>
            </w:pPr>
            <w:r>
              <w:rPr>
                <w:rFonts w:ascii="仿宋_GB2312" w:hAnsi="仿宋_GB2312" w:cs="仿宋_GB2312" w:eastAsia="仿宋_GB2312"/>
                <w:sz w:val="22"/>
              </w:rPr>
              <w:t>3.3供应商在响应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ind w:firstLine="482"/>
              <w:jc w:val="both"/>
            </w:pPr>
            <w:r>
              <w:rPr>
                <w:rFonts w:ascii="仿宋_GB2312" w:hAnsi="仿宋_GB2312" w:cs="仿宋_GB2312" w:eastAsia="仿宋_GB2312"/>
                <w:sz w:val="22"/>
              </w:rPr>
              <w:t>4.工程技术标准及要求</w:t>
            </w:r>
          </w:p>
          <w:p>
            <w:pPr>
              <w:pStyle w:val="null3"/>
              <w:ind w:firstLine="482"/>
              <w:jc w:val="both"/>
            </w:pPr>
            <w:r>
              <w:rPr>
                <w:rFonts w:ascii="仿宋_GB2312" w:hAnsi="仿宋_GB2312" w:cs="仿宋_GB2312" w:eastAsia="仿宋_GB2312"/>
                <w:sz w:val="22"/>
              </w:rPr>
              <w:t>4.1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2"/>
              <w:jc w:val="both"/>
            </w:pPr>
            <w:r>
              <w:rPr>
                <w:rFonts w:ascii="仿宋_GB2312" w:hAnsi="仿宋_GB2312" w:cs="仿宋_GB2312" w:eastAsia="仿宋_GB2312"/>
                <w:sz w:val="22"/>
              </w:rPr>
              <w:t>4.2本工程其他技术标准及要求执行现行规范和采购人实际需求。</w:t>
            </w:r>
          </w:p>
          <w:p>
            <w:pPr>
              <w:pStyle w:val="null3"/>
              <w:ind w:firstLine="482"/>
              <w:jc w:val="both"/>
            </w:pPr>
            <w:r>
              <w:rPr>
                <w:rFonts w:ascii="仿宋_GB2312" w:hAnsi="仿宋_GB2312" w:cs="仿宋_GB2312" w:eastAsia="仿宋_GB2312"/>
                <w:sz w:val="22"/>
              </w:rPr>
              <w:t>4.3在施工过程中，如果国家或有关部门颁布了新的技术标准或规范，则采购人应采用新的标准或规范进行施工。</w:t>
            </w:r>
          </w:p>
          <w:p>
            <w:pPr>
              <w:pStyle w:val="null3"/>
              <w:ind w:firstLine="482"/>
              <w:jc w:val="both"/>
            </w:pPr>
            <w:r>
              <w:rPr>
                <w:rFonts w:ascii="仿宋_GB2312" w:hAnsi="仿宋_GB2312" w:cs="仿宋_GB2312" w:eastAsia="仿宋_GB2312"/>
                <w:sz w:val="22"/>
              </w:rPr>
              <w:t>4.4采购人提供工程的施工方案和相关技术文件，是采购人现有的能被供应商利用的资料，采购人对供应商做出的任何推论、理解均不负责任。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sz w:val="22"/>
              </w:rPr>
              <w:t>4.5本项目不组织统一踏勘，供应商也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需要负责施工期间的安全问题、社会关系协调、政府职能部门相关手续办理等内容，所发生的一切费用应在报价时加以考虑。</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的施工地点为前附表所述，各供应商根据采购人提供的工程量清单进行填报磋商报价。如未对自行拟定的工程量清单完善的，视为拟定的清单中已将未列明的项目免费提供；供应商响应报价中的价格均包括完成该工程的分部分项工程费、措施费、其他项目费、规费、税金和供应商必须的其它费用以及合同明示或暗示的所有风险、责任和义务等全部费用供应商的磋商报价应是供应商须知前附表及供应商须知与乙方要求、拟签订的合同条件上所列的各项内容中所述的全部，同时需要负责施工期间的安全问题、社会关系协调、政府职能部门相关手续办理等内容。 （2）磋商报价时各供应商应根据文件说明、做法、施工组织设计、施工验收规范、现场条件、工程特点等内容编制磋商报价； （3）工程完工后，采购人应及时组织有资质的第三方进行消防检测，并出具检测报告（如检测合格即视为项目预验收合格）。采购人委托具有检测资质的第三方检测机构，由供应商与其签订合同并进行付款，相关费用包含在磋商报价之内，不再另行增加。第三方检测合格后，供应商负责办理政府相关部门验收，取得消防审查验收（备案）手续或取得属地住建部门出具评估合格的函。取得消防审查验收（备案）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采购人在规定时间内未能组织验收的，需及时通知采购人，双方另行商定验收日期。 （4）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提供首次磋商响应文件递交截止时间前6个月内任意一个月的缴纳证明。依法不需要缴纳社会保障资金的供应商应提供相关文件证明；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提供首次磋商响应文件递交截止时间前6个月内任意一个月的纳税证明或完税证明（任意税种），纳税证明或完税证明上应有代收机构或税务机关的公章或业务专用章。依法免税的供应商应提供相关文件证明；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供应商须具有建设行政主管部门颁发的消防设施工程专业承包二级（含二级）及以上资质，且具有有效的安全生产许可证；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拟派项目经理须具有机电工程专业二级及以上（含二级）注册建造师证书和有效的安全生产考核合格证书（建安B证）且应提供项目经理无在建工程承诺书；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提供《供应商信用记录书面声明函》及截图。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响应文件封面 磋商响应方案.docx 报价函 标的清单 符合性证明文件.docx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符合性证明文件.docx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 标的清单 符合性证明文件.docx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标的清单 符合性证明文件.docx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应满足磋商文件中要求的质保期</w:t>
            </w:r>
          </w:p>
        </w:tc>
        <w:tc>
          <w:tcPr>
            <w:tcW w:type="dxa" w:w="1661"/>
          </w:tcPr>
          <w:p>
            <w:pPr>
              <w:pStyle w:val="null3"/>
            </w:pPr>
            <w:r>
              <w:rPr>
                <w:rFonts w:ascii="仿宋_GB2312" w:hAnsi="仿宋_GB2312" w:cs="仿宋_GB2312" w:eastAsia="仿宋_GB2312"/>
              </w:rPr>
              <w:t>报价函 标的清单 符合性证明文件.docx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标的清单 符合性证明文件.docx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报价函 标的清单 符合性证明文件.docx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 ②施工准备：技术准备、材料准备③施工平面布置与安排：现场围挡及入口管理、交通组织安排、消防及道路安排。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 ①工程重难点及解决措施 ②工程施工方法 二、评审标准 1、完整性：方案必须全面，对评审内容中的各项要求有详细描述； 2、可实施性：切合本项目实际情况，提出步骤清晰、合理的方案； 3、针对性：方案能够紧扣项目实际情况，内容科学合理。 三、赋分标准（12分） ①工程重难点及解决措施：每完全满足一个评审标准得2分，满分6分； ②工程施工方法：每完全满足一个评审标准得2分，满分6分；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三、赋分标准（满分12分） ①质量目标管理体系：每完全满足一个评审标准得1分，满分3分； ②施工质量检验制度：每完全满足一个评审标准得1分，满 分3分；③确保质量的技术组织措施：每完全满足一个评审标准得1分，满分3分； ④施工质量控制措施：每完全满足一个评审标准得1分，满分3分。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②安全文明施工措施 ③安全应急预案 ④安全生产教育。 二、评审标准 1、完整性：方案必须全面，对评审内容中的各项要求有详细描述； 2、可实施性：切合本项目实际情况， 提出步骤清晰、合理的方案； 3、针对性：方案能够紧扣项目实际情况，内容科学合理。 三、赋分标准（满分12分） ①安全生产管理制度：每完全满足一个评审标准得1分，满分3分； ②安全文明施工措施：每完全满足一个评审标准得1分，满分3分；③安全应急预案：每完全满足一个评审标准得1分，满分3分； ④安全生产教育：每完全满足 一个评审标准得1分 ，满分3分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②组织机构的岗位职责。 二、评审标准 1、完整性：方案必须全面， 对评审内容中的各项要求有详细述； 2、可实施性：切合本项目实际情况，提出步骤清晰、合理的方案； 3、针对性：方案能够紧扣项目实际情况，内容科学合理。 三、赋分标准（满分6分）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主要材料及设备</w:t>
            </w:r>
          </w:p>
        </w:tc>
        <w:tc>
          <w:tcPr>
            <w:tcW w:type="dxa" w:w="2492"/>
          </w:tcPr>
          <w:p>
            <w:pPr>
              <w:pStyle w:val="null3"/>
            </w:pPr>
            <w:r>
              <w:rPr>
                <w:rFonts w:ascii="仿宋_GB2312" w:hAnsi="仿宋_GB2312" w:cs="仿宋_GB2312" w:eastAsia="仿宋_GB2312"/>
              </w:rPr>
              <w:t>一、评审内容 根据供应商提供主要材料及设备配备进行评审，内容包含： ①主要材料及设备管理措施 ②投入本项目使用的材料及设备品牌及安全。 二、评审标准 1、完整性：方案需全面覆盖对本项目材料设备的专项管理、合规性核查、安全防护等要求，对消防相关材料溯源、现场管控、应急处置等细节有详细阐述； 2、可实施性：使用材料及设备切合本项目实际情况，符合施工现场要求及长期使用要求； 3.针对性：投入本项目所有材料及设备符合工程量清单及采购人要求。 三、赋分标准（满分6分） ①主要材料及设备管理措施：每完全满足一个评审标准得1分，满分3分； ②投入本项目使用的材料及设备品牌及安全：每完全满足一个评审标准得1分，满分3分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供应商提供2022年1月起至今的类似业绩证明材料，时间以合同签订日期为准，（文件中附合同复印件），每提供一项上述业绩的得1分，最高得4分。不提供或缺项不得分。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