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版本号：PZZX-26-B00420260129002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2026年度“西安青年聚”新媒体平台维护运营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PZZX-26-B004</w:t>
      </w:r>
      <w:r>
        <w:br/>
      </w:r>
      <w:r>
        <w:br/>
      </w:r>
      <w:r>
        <w:br/>
      </w:r>
    </w:p>
    <w:p>
      <w:pPr>
        <w:pStyle w:val="null3"/>
        <w:jc w:val="center"/>
        <w:outlineLvl w:val="2"/>
      </w:pPr>
      <w:r>
        <w:rPr>
          <w:rFonts w:ascii="仿宋_GB2312" w:hAnsi="仿宋_GB2312" w:cs="仿宋_GB2312" w:eastAsia="仿宋_GB2312"/>
          <w:sz w:val="28"/>
          <w:b/>
        </w:rPr>
        <w:t>共青团西安市委员会（本级）</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共青团西安市委员会（本级）</w:t>
      </w:r>
      <w:r>
        <w:rPr>
          <w:rFonts w:ascii="仿宋_GB2312" w:hAnsi="仿宋_GB2312" w:cs="仿宋_GB2312" w:eastAsia="仿宋_GB2312"/>
        </w:rPr>
        <w:t>委托，拟对</w:t>
      </w:r>
      <w:r>
        <w:rPr>
          <w:rFonts w:ascii="仿宋_GB2312" w:hAnsi="仿宋_GB2312" w:cs="仿宋_GB2312" w:eastAsia="仿宋_GB2312"/>
        </w:rPr>
        <w:t>2026年度“西安青年聚”新媒体平台维护运营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PZZX-26-B004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2026年度“西安青年聚”新媒体平台维护运营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安排专人负责共青团西安市委“西安青年聚”新媒体平台（包括且不限于网站、微博、微信公众号、微信视频号、抖音、快手等）的运维。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采购包1（2026年度“西安青年聚”新媒体平台维护运营）：属于专门面向中小企业采购。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1、法定代表人授权书：法定代表人授权书及被授权人身份证复印件加盖公章；(法定代表人直接参加投标，只须提交其身份证及其复印件)。合法有效。</w:t>
      </w:r>
    </w:p>
    <w:p>
      <w:pPr>
        <w:pStyle w:val="null3"/>
      </w:pPr>
      <w:r>
        <w:rPr>
          <w:rFonts w:ascii="仿宋_GB2312" w:hAnsi="仿宋_GB2312" w:cs="仿宋_GB2312" w:eastAsia="仿宋_GB2312"/>
        </w:rPr>
        <w:t>2、信用查询结果：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真实有效。</w:t>
      </w:r>
    </w:p>
    <w:p>
      <w:pPr>
        <w:pStyle w:val="null3"/>
      </w:pPr>
      <w:r>
        <w:rPr>
          <w:rFonts w:ascii="仿宋_GB2312" w:hAnsi="仿宋_GB2312" w:cs="仿宋_GB2312" w:eastAsia="仿宋_GB2312"/>
        </w:rPr>
        <w:t>3、本次项目不接受联合体投标：本次项目不接受联合体投标，提供承诺函，真实有效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共青团西安市委员会（本级）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西安市西北国金中心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岳明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18629055677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代理服务费收费标准：成交供应商在领取成交通知书前，须向采购代理机构足额支付成交服务费8000元整。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共青团西安市委员会（本级）</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共青团西安市委员会（本级）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共青团西安市委员会（本级）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联系电话：15129883713</w:t>
      </w:r>
    </w:p>
    <w:p>
      <w:pPr>
        <w:pStyle w:val="null3"/>
      </w:pPr>
      <w:r>
        <w:rPr>
          <w:rFonts w:ascii="仿宋_GB2312" w:hAnsi="仿宋_GB2312" w:cs="仿宋_GB2312" w:eastAsia="仿宋_GB2312"/>
        </w:rPr>
        <w:t>地址： 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安排专人负责共青团西安市委“西安青年聚”新媒体平台（包括且不限于网站、微博、微信公众号、微信视频号、抖音、快手等）的运维。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2026年度西安青年聚新媒体平台维护运营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标的名称：2026年度西安青年聚新媒体平台维护运营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numPr>
                <w:ilvl w:val="0"/>
                <w:numId w:val="1"/>
              </w:numPr>
              <w:jc w:val="left"/>
            </w:pPr>
            <w:r>
              <w:rPr>
                <w:rFonts w:ascii="仿宋_GB2312" w:hAnsi="仿宋_GB2312" w:cs="仿宋_GB2312" w:eastAsia="仿宋_GB2312"/>
                <w:sz w:val="20"/>
              </w:rPr>
              <w:t>新媒体平台稿件的采编、宣传策划、排版美化、技术支持、稿件审核，每日在新媒体平台推送，通过内容运维，全年粉丝数量要有明显的增长</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结合重要宣传时间节点设计制作原创推文、主题海报、长图、短视频、</w:t>
            </w:r>
            <w:r>
              <w:rPr>
                <w:rFonts w:ascii="仿宋_GB2312" w:hAnsi="仿宋_GB2312" w:cs="仿宋_GB2312" w:eastAsia="仿宋_GB2312"/>
                <w:sz w:val="20"/>
              </w:rPr>
              <w:t>H5、短视频等内容并发布推送，同时组织策划线上主题宣传及推广活动和线上直播活动，增强互动、吸引粉丝、增加阅读量;</w:t>
            </w:r>
          </w:p>
          <w:p>
            <w:pPr>
              <w:pStyle w:val="null3"/>
              <w:numPr>
                <w:ilvl w:val="0"/>
                <w:numId w:val="1"/>
              </w:numPr>
              <w:jc w:val="left"/>
            </w:pPr>
            <w:r>
              <w:rPr>
                <w:rFonts w:ascii="仿宋_GB2312" w:hAnsi="仿宋_GB2312" w:cs="仿宋_GB2312" w:eastAsia="仿宋_GB2312"/>
                <w:sz w:val="20"/>
              </w:rPr>
              <w:t>结合</w:t>
            </w:r>
            <w:r>
              <w:rPr>
                <w:rFonts w:ascii="仿宋_GB2312" w:hAnsi="仿宋_GB2312" w:cs="仿宋_GB2312" w:eastAsia="仿宋_GB2312"/>
                <w:sz w:val="20"/>
              </w:rPr>
              <w:t>第三方网络信息监测系统，共同做好对各平台网络信息信息的处置;</w:t>
            </w:r>
          </w:p>
          <w:p>
            <w:pPr>
              <w:pStyle w:val="null3"/>
              <w:numPr>
                <w:ilvl w:val="0"/>
                <w:numId w:val="1"/>
              </w:numPr>
              <w:jc w:val="left"/>
            </w:pPr>
            <w:r>
              <w:rPr>
                <w:rFonts w:ascii="仿宋_GB2312" w:hAnsi="仿宋_GB2312" w:cs="仿宋_GB2312" w:eastAsia="仿宋_GB2312"/>
                <w:sz w:val="20"/>
              </w:rPr>
              <w:t>全年在中央级媒体实现品牌推广，不断扩大西安共青团影响力。</w:t>
            </w:r>
          </w:p>
          <w:p>
            <w:pPr>
              <w:pStyle w:val="null3"/>
              <w:numPr>
                <w:ilvl w:val="0"/>
                <w:numId w:val="1"/>
              </w:numPr>
              <w:jc w:val="left"/>
            </w:pPr>
            <w:r>
              <w:rPr>
                <w:rFonts w:ascii="仿宋_GB2312" w:hAnsi="仿宋_GB2312" w:cs="仿宋_GB2312" w:eastAsia="仿宋_GB2312"/>
                <w:sz w:val="20"/>
              </w:rPr>
              <w:t>做好其他相关工作。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rPr>
              <w:t>按照中央和省委、市委关于政务新媒体的工作要求，须由主流新闻媒体、具有互联网新闻采编发布服务资质的主流新闻网站等单位。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自成交达成之日起一年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自成交达成之日起一年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工作完成总体成果的50.00%，提交阶段性工作总结经过考核合格后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服务期满后，且剩余工作成果经验收合格后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中标单位在中标后应无偿线下递交响应文件正本壹套、副本贰套、电子版U盘贰套(U盘贰套标明供应商名称，单独密封）。若电子响应文件与纸质响应文件不一致的，以电子响应文件为准，若正本和副本不符，以正本为准。线上递交文件时间：详见本项目磋商公告响应文件递交截止时间：线下递交文件时间地点:具体递交时间以代理机构通知为准。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1、具备独立承担民事责任的能力，具有法人、事业法人、其它组织或自然人的营业执照等证明文件，合法有效。 2、提供2025年7月1日起至开标时间前已缴纳的至少一个月的纳税证明或完税证明（税种应包含营业税或增值税或企业所得税），其中纳税证明或完税证明上应有代收机构或税务机关的公章或业务专用章，其他组织和自然人提供自2025年7月1日起至开标时间前至少一个月缴纳税收的凭据，依法 免税或零申报的供应商须提供相关文件证明。真实有效。 3、提供2025年7月1日起至开标时间前已缴存的至少一个月的社会保障资金缴存单据或社保机构开具的社会保险参保缴费情况证明，依法不需要缴纳社会保障资金的单位应提供相关证明材料。真实有效。 4、参加政府采购活动前3年内，在经营活动中没有重大违法记录的书面声明（格式自拟）。提供声明函，真实有效。 5、提供具有履行合同所必需的设备和专业技术能力的承诺（格式自拟），提供承诺函，真实有效。 6、磋商单位具备法律、行政法规规定的其他条件，提供承诺函（格式自拟），真实有效。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真实有效。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法定代表人授权书及被授权人身份证复印件加盖公章；(法定代表人直接参加投标，只须提交其身份证及其复印件)。合法有效。</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信用查询结果</w:t>
            </w:r>
          </w:p>
        </w:tc>
        <w:tc>
          <w:tcPr>
            <w:tcW w:type="dxa" w:w="3322"/>
          </w:tcPr>
          <w:p>
            <w:pPr>
              <w:pStyle w:val="null3"/>
            </w:pPr>
            <w:r>
              <w:rPr>
                <w:rFonts w:ascii="仿宋_GB2312" w:hAnsi="仿宋_GB2312" w:cs="仿宋_GB2312" w:eastAsia="仿宋_GB2312"/>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真实有效。</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本次项目不接受联合体投标，提供承诺函，真实有效</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满足本磋商文件中标注的实质性条款（服务期限、服务地点、支付方式、支付约定）要求的。响应文件内容齐全、无遗漏。</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 2 分，最高得10分。(以提供的合同或中标（成交）通知书的复印件为准，时间以合同签订时间或中标（成交）通知书时间为准。)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项目实施计划与服务方案</w:t>
            </w:r>
          </w:p>
        </w:tc>
        <w:tc>
          <w:tcPr>
            <w:tcW w:type="dxa" w:w="2492"/>
          </w:tcPr>
          <w:p>
            <w:pPr>
              <w:pStyle w:val="null3"/>
            </w:pPr>
            <w:r>
              <w:rPr>
                <w:rFonts w:ascii="仿宋_GB2312" w:hAnsi="仿宋_GB2312" w:cs="仿宋_GB2312" w:eastAsia="仿宋_GB2312"/>
              </w:rPr>
              <w:t>1、对本项目实施计划与服务方案（包括但不限于网站、微博、微信公众号、微信视频号、抖音等运维方案合理可行性强，每提供1个内容得2分，最高得10分；（上述内容每缺 1项内容扣2分，每有1处不合理或有瑕疵扣1分 。未提供不得分）。 2、对服务方案完整性进行打分。服务方案主体内容应包括项目需求分析、运维计划、人员配置、项目实施、数据安全、项目验收等。上述主体内容全部提供完整且满足采购文件要求，每提供1个内容得3分，最高得18分。（上述内容每缺 1项内容扣3分，每有1处不合理或有瑕疵扣1-2分 。未提供不得分）。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1.供应商具有国家互联网信息办公室颁发的互联网新闻信息服务许可证，得3分。 2.供应商具有国家广播电视总局颁发的信息网络传播视听节目许可证，得3分。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项目重难点分析及解决策略</w:t>
            </w:r>
          </w:p>
        </w:tc>
        <w:tc>
          <w:tcPr>
            <w:tcW w:type="dxa" w:w="2492"/>
          </w:tcPr>
          <w:p>
            <w:pPr>
              <w:pStyle w:val="null3"/>
            </w:pPr>
            <w:r>
              <w:rPr>
                <w:rFonts w:ascii="仿宋_GB2312" w:hAnsi="仿宋_GB2312" w:cs="仿宋_GB2312" w:eastAsia="仿宋_GB2312"/>
              </w:rPr>
              <w:t>供应商围绕本项目特点提出项目建设的重点、难点，明确项目建设的总体要求，工作原则和解决策略。 A.描述全面完整，重点及难点把握准确，分析到位，解决措施科学完善、切实可行，得10分； B.描述较为全面，重点及难点把握较为准确，分析基本合理，解决措施合理可行，得8分； C.描述基本全面，重点及难点把握基本准确，分析简单，解决措施基本合理可行，得6分； D.描述简单，重点及难点把握有偏差，分析欠缺，得4分； E. 内容简单笼统，缺少可行性，得2分； 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提供具有针对性的进度保障方案，包含但不限于工作时间进度计划、工作程序和步骤等。 A.方案详细完整、合理可行，进度调配得当，控制措施紧密有效，针对性强，得8分； B.方案内容齐全、基本可行，控制措施有一定针对性，得6分； C.方案内容简单笼统，控制措施针对性一般，得4分； D.方案内容缺失、方案针对性较差得2分；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运维情况</w:t>
            </w:r>
          </w:p>
        </w:tc>
        <w:tc>
          <w:tcPr>
            <w:tcW w:type="dxa" w:w="2492"/>
          </w:tcPr>
          <w:p>
            <w:pPr>
              <w:pStyle w:val="null3"/>
            </w:pPr>
            <w:r>
              <w:rPr>
                <w:rFonts w:ascii="仿宋_GB2312" w:hAnsi="仿宋_GB2312" w:cs="仿宋_GB2312" w:eastAsia="仿宋_GB2312"/>
              </w:rPr>
              <w:t>具备新媒体平台运营经验，且运维平台在行业排名、粉丝量增长、综合影响力提升等方面取得较好成绩，得6分； 具备其他平台运维经验，且取得较好成绩，得4分； 具备运维经验，得2分。提供相关运维说明、总结等证明材料。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平台影响力提升</w:t>
            </w:r>
          </w:p>
        </w:tc>
        <w:tc>
          <w:tcPr>
            <w:tcW w:type="dxa" w:w="2492"/>
          </w:tcPr>
          <w:p>
            <w:pPr>
              <w:pStyle w:val="null3"/>
            </w:pPr>
            <w:r>
              <w:rPr>
                <w:rFonts w:ascii="仿宋_GB2312" w:hAnsi="仿宋_GB2312" w:cs="仿宋_GB2312" w:eastAsia="仿宋_GB2312"/>
              </w:rPr>
              <w:t>根据供应商对项目需求的分析，为项目影响力提升提供保证。 A.能够通过运维及资源渠道，确保平台在行业排名影响力提升2 到3名，得8分；B. 能够通过运维及资源渠道，确保平台运维影响力较目前水平有所提升，得5分；C. 能够通过运维及资源渠道，实现工作推广，得3分.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A.内容详细完整、合理可行，进度调配得当，控制措施紧密有效，针对性强，得8分； B.内容齐全、基本可行，控制措施有一定针对性，得6分； C.内容简单笼统，控制措施针对性一般，得4分； D.方案内容缺失、方案针对性较差得2分；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A.承诺内容完整详尽，且不限于上述所要求内容的得6分；B.承诺内容无缺漏，对上述所要求内容描述符合采购文件的得4分；C.不符合上述两种情形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 (磋商基准价/最后磋商报价)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