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版本号：2026XKR03020260128001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HPV核酸提取或纯化试剂采购项目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2026XKR030</w:t>
      </w:r>
      <w:r>
        <w:br/>
      </w:r>
      <w:r>
        <w:br/>
      </w:r>
      <w:r>
        <w:br/>
      </w:r>
    </w:p>
    <w:p>
      <w:pPr>
        <w:pStyle w:val="null3"/>
        <w:jc w:val="center"/>
        <w:outlineLvl w:val="2"/>
      </w:pPr>
      <w:r>
        <w:rPr>
          <w:rFonts w:ascii="仿宋_GB2312" w:hAnsi="仿宋_GB2312" w:cs="仿宋_GB2312" w:eastAsia="仿宋_GB2312"/>
          <w:sz w:val="28"/>
          <w:b/>
        </w:rPr>
        <w:t>西安市妇幼保健院</w:t>
      </w:r>
    </w:p>
    <w:p>
      <w:pPr>
        <w:pStyle w:val="null3"/>
        <w:jc w:val="center"/>
        <w:outlineLvl w:val="2"/>
      </w:pPr>
      <w:r>
        <w:rPr>
          <w:rFonts w:ascii="仿宋_GB2312" w:hAnsi="仿宋_GB2312" w:cs="仿宋_GB2312" w:eastAsia="仿宋_GB2312"/>
          <w:sz w:val="28"/>
          <w:b/>
        </w:rPr>
        <w:t>赛科瑞项目管理有限公司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2026年01月28日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赛科瑞项目管理有限公司</w:t>
      </w:r>
      <w:r>
        <w:rPr>
          <w:rFonts w:ascii="仿宋_GB2312" w:hAnsi="仿宋_GB2312" w:cs="仿宋_GB2312" w:eastAsia="仿宋_GB2312"/>
        </w:rPr>
        <w:t>（以下简称“代理机构”）受</w:t>
      </w:r>
      <w:r>
        <w:rPr>
          <w:rFonts w:ascii="仿宋_GB2312" w:hAnsi="仿宋_GB2312" w:cs="仿宋_GB2312" w:eastAsia="仿宋_GB2312"/>
        </w:rPr>
        <w:t>西安市妇幼保健院</w:t>
      </w:r>
      <w:r>
        <w:rPr>
          <w:rFonts w:ascii="仿宋_GB2312" w:hAnsi="仿宋_GB2312" w:cs="仿宋_GB2312" w:eastAsia="仿宋_GB2312"/>
        </w:rPr>
        <w:t>委托，拟对</w:t>
      </w:r>
      <w:r>
        <w:rPr>
          <w:rFonts w:ascii="仿宋_GB2312" w:hAnsi="仿宋_GB2312" w:cs="仿宋_GB2312" w:eastAsia="仿宋_GB2312"/>
        </w:rPr>
        <w:t>HPV核酸提取或纯化试剂采购项目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2026XKR030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HPV核酸提取或纯化试剂采购项目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全面贯彻落实国家基本公共卫生服务项目两癌筛查中宫颈癌筛查。实现早发现、早诊断、早治疗的目标，推动市宫颈癌筛查结果的准确性，可溯源性，及便利性，我单位拟采购一批“核酸提取或纯化试剂”，并采用竞争性磋商采购方式，以确认设备与试剂的最优匹配度。</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采购包1（HPV核酸提取或纯化试剂采购项目）：属于专门面向中小企业采购。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单位法定代表人/单位负责人身份证明书、授权委托书及社保证明负责人身份证明书、授权委托书及社保证明：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近3个月内任意1个月在本单位缴纳的社保证明；</w:t>
      </w:r>
    </w:p>
    <w:p>
      <w:pPr>
        <w:pStyle w:val="null3"/>
      </w:pPr>
      <w:r>
        <w:rPr>
          <w:rFonts w:ascii="仿宋_GB2312" w:hAnsi="仿宋_GB2312" w:cs="仿宋_GB2312" w:eastAsia="仿宋_GB2312"/>
        </w:rPr>
        <w:t>2、特定资质：供应商为制造厂家的需提供《医疗器械生产许可证》或《医疗器械生产备案凭证》；供应商为经销商的需提供《医疗器械经营许可证》或《医疗器械经营备案凭证》，并提供生产厂家的《医疗器械生产许可证》或《医疗器械生产备案凭证》（若所投产品不属于医疗器械的则无需提供）；</w:t>
      </w:r>
    </w:p>
    <w:p>
      <w:pPr>
        <w:pStyle w:val="null3"/>
      </w:pPr>
      <w:r>
        <w:rPr>
          <w:rFonts w:ascii="仿宋_GB2312" w:hAnsi="仿宋_GB2312" w:cs="仿宋_GB2312" w:eastAsia="仿宋_GB2312"/>
        </w:rPr>
        <w:t>3、医疗器械注册证：投标产品属于医疗器械管理范围的须提供医疗器械注册证。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西安市妇幼保健院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西安市莲湖区西大街73号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吕科长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029-87251978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赛科瑞项目管理有限公司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西安市未央区未央路665号未央城建集团7楼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邵工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029-89373763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代理服务费收费标准：以成交价为基数，按照《招标代理服务收费管理暂行办法》（计价格[2002]1980号）中代理服务收费标准下浮15%收取。 成交供应商在领取成交通知书前，一次性支付给招标代理机构。</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西安市妇幼保健院</w:t>
      </w:r>
      <w:r>
        <w:rPr>
          <w:rFonts w:ascii="仿宋_GB2312" w:hAnsi="仿宋_GB2312" w:cs="仿宋_GB2312" w:eastAsia="仿宋_GB2312"/>
        </w:rPr>
        <w:t>和</w:t>
      </w:r>
      <w:r>
        <w:rPr>
          <w:rFonts w:ascii="仿宋_GB2312" w:hAnsi="仿宋_GB2312" w:cs="仿宋_GB2312" w:eastAsia="仿宋_GB2312"/>
        </w:rPr>
        <w:t>赛科瑞项目管理有限公司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西安市妇幼保健院</w:t>
      </w:r>
      <w:r>
        <w:rPr>
          <w:rFonts w:ascii="仿宋_GB2312" w:hAnsi="仿宋_GB2312" w:cs="仿宋_GB2312" w:eastAsia="仿宋_GB2312"/>
        </w:rPr>
        <w:t>负责解释。除上述磋商文件内容，其他内容由</w:t>
      </w:r>
      <w:r>
        <w:rPr>
          <w:rFonts w:ascii="仿宋_GB2312" w:hAnsi="仿宋_GB2312" w:cs="仿宋_GB2312" w:eastAsia="仿宋_GB2312"/>
        </w:rPr>
        <w:t>赛科瑞项目管理有限公司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赛科瑞项目管理有限公司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赛科瑞项目管理有限公司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赛科瑞项目管理有限公司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赛科瑞项目管理有限公司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联系人：邵工</w:t>
      </w:r>
    </w:p>
    <w:p>
      <w:pPr>
        <w:pStyle w:val="null3"/>
      </w:pPr>
      <w:r>
        <w:rPr>
          <w:rFonts w:ascii="仿宋_GB2312" w:hAnsi="仿宋_GB2312" w:cs="仿宋_GB2312" w:eastAsia="仿宋_GB2312"/>
        </w:rPr>
        <w:t>联系电话：029-89373763</w:t>
      </w:r>
    </w:p>
    <w:p>
      <w:pPr>
        <w:pStyle w:val="null3"/>
      </w:pPr>
      <w:r>
        <w:rPr>
          <w:rFonts w:ascii="仿宋_GB2312" w:hAnsi="仿宋_GB2312" w:cs="仿宋_GB2312" w:eastAsia="仿宋_GB2312"/>
        </w:rPr>
        <w:t>地址：西安市未央区未央路665号未央城建集团7楼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全面贯彻落实国家基本公共卫生服务项目两癌筛查中宫颈癌筛查。实现早发现、早诊断、早治疗的目标，推动市宫颈癌筛查结果的准确性，可溯源性，及便利性，我单位拟采购一批“核酸提取或纯化试剂”，并采用竞争性磋商采购方式，以确认设备与试剂的最优匹配度。</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诊断用生物试剂盒</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标的名称：诊断用生物试剂盒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672"/>
              <w:gridCol w:w="441"/>
              <w:gridCol w:w="441"/>
            </w:tblGrid>
            <w:tr>
              <w:tc>
                <w:tcPr>
                  <w:tcW w:type="dxa" w:w="16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名称：核酸提取或纯化试剂</w:t>
                  </w:r>
                  <w:r>
                    <w:br/>
                  </w:r>
                  <w:r>
                    <w:rPr>
                      <w:rFonts w:ascii="仿宋_GB2312" w:hAnsi="仿宋_GB2312" w:cs="仿宋_GB2312" w:eastAsia="仿宋_GB2312"/>
                      <w:sz w:val="21"/>
                    </w:rPr>
                    <w:t>规格：</w:t>
                  </w:r>
                  <w:r>
                    <w:rPr>
                      <w:rFonts w:ascii="仿宋_GB2312" w:hAnsi="仿宋_GB2312" w:cs="仿宋_GB2312" w:eastAsia="仿宋_GB2312"/>
                      <w:sz w:val="21"/>
                    </w:rPr>
                    <w:t>≤24</w:t>
                  </w:r>
                  <w:r>
                    <w:rPr>
                      <w:rFonts w:ascii="仿宋_GB2312" w:hAnsi="仿宋_GB2312" w:cs="仿宋_GB2312" w:eastAsia="仿宋_GB2312"/>
                      <w:sz w:val="21"/>
                    </w:rPr>
                    <w:t>人份</w:t>
                  </w:r>
                  <w:r>
                    <w:rPr>
                      <w:rFonts w:ascii="仿宋_GB2312" w:hAnsi="仿宋_GB2312" w:cs="仿宋_GB2312" w:eastAsia="仿宋_GB2312"/>
                      <w:sz w:val="21"/>
                    </w:rPr>
                    <w:t>/</w:t>
                  </w:r>
                  <w:r>
                    <w:rPr>
                      <w:rFonts w:ascii="仿宋_GB2312" w:hAnsi="仿宋_GB2312" w:cs="仿宋_GB2312" w:eastAsia="仿宋_GB2312"/>
                      <w:sz w:val="21"/>
                    </w:rPr>
                    <w:t>盒</w:t>
                  </w:r>
                  <w:r>
                    <w:br/>
                  </w:r>
                  <w:r>
                    <w:rPr>
                      <w:rFonts w:ascii="仿宋_GB2312" w:hAnsi="仿宋_GB2312" w:cs="仿宋_GB2312" w:eastAsia="仿宋_GB2312"/>
                      <w:sz w:val="21"/>
                    </w:rPr>
                    <w:t>1.</w:t>
                  </w:r>
                  <w:r>
                    <w:rPr>
                      <w:rFonts w:ascii="仿宋_GB2312" w:hAnsi="仿宋_GB2312" w:cs="仿宋_GB2312" w:eastAsia="仿宋_GB2312"/>
                      <w:sz w:val="21"/>
                    </w:rPr>
                    <w:t>预期用途：用于核酸的提取、富集、纯化步骤。其处理后的产物用于临床体外检测使用。</w:t>
                  </w:r>
                  <w:r>
                    <w:br/>
                  </w:r>
                  <w:r>
                    <w:rPr>
                      <w:rFonts w:ascii="仿宋_GB2312" w:hAnsi="仿宋_GB2312" w:cs="仿宋_GB2312" w:eastAsia="仿宋_GB2312"/>
                      <w:sz w:val="21"/>
                    </w:rPr>
                    <w:t>2.</w:t>
                  </w:r>
                  <w:r>
                    <w:rPr>
                      <w:rFonts w:ascii="仿宋_GB2312" w:hAnsi="仿宋_GB2312" w:cs="仿宋_GB2312" w:eastAsia="仿宋_GB2312"/>
                      <w:sz w:val="21"/>
                    </w:rPr>
                    <w:t>主要组成成分：预分装反应条（含磁珠结合液、磁珠、磁珠洗涤液、洗脱液等）</w:t>
                  </w:r>
                  <w:r>
                    <w:br/>
                  </w:r>
                  <w:r>
                    <w:rPr>
                      <w:rFonts w:ascii="仿宋_GB2312" w:hAnsi="仿宋_GB2312" w:cs="仿宋_GB2312" w:eastAsia="仿宋_GB2312"/>
                      <w:sz w:val="21"/>
                    </w:rPr>
                    <w:t>①</w:t>
                  </w:r>
                  <w:r>
                    <w:rPr>
                      <w:rFonts w:ascii="仿宋_GB2312" w:hAnsi="仿宋_GB2312" w:cs="仿宋_GB2312" w:eastAsia="仿宋_GB2312"/>
                      <w:sz w:val="21"/>
                    </w:rPr>
                    <w:t>结合缓冲液：盐酸胍、异硫氰酸胍、异丙醇或乙醇</w:t>
                  </w:r>
                  <w:r>
                    <w:rPr>
                      <w:rFonts w:ascii="仿宋_GB2312" w:hAnsi="仿宋_GB2312" w:cs="仿宋_GB2312" w:eastAsia="仿宋_GB2312"/>
                      <w:sz w:val="21"/>
                    </w:rPr>
                    <w:t>TritonX-100</w:t>
                  </w:r>
                  <w:r>
                    <w:rPr>
                      <w:rFonts w:ascii="仿宋_GB2312" w:hAnsi="仿宋_GB2312" w:cs="仿宋_GB2312" w:eastAsia="仿宋_GB2312"/>
                      <w:sz w:val="21"/>
                    </w:rPr>
                    <w:t>、</w:t>
                  </w:r>
                  <w:r>
                    <w:rPr>
                      <w:rFonts w:ascii="仿宋_GB2312" w:hAnsi="仿宋_GB2312" w:cs="仿宋_GB2312" w:eastAsia="仿宋_GB2312"/>
                      <w:sz w:val="21"/>
                    </w:rPr>
                    <w:t xml:space="preserve">Tris-HCl </w:t>
                  </w:r>
                  <w:r>
                    <w:rPr>
                      <w:rFonts w:ascii="仿宋_GB2312" w:hAnsi="仿宋_GB2312" w:cs="仿宋_GB2312" w:eastAsia="仿宋_GB2312"/>
                      <w:sz w:val="21"/>
                    </w:rPr>
                    <w:t>等等。</w:t>
                  </w:r>
                  <w:r>
                    <w:br/>
                  </w:r>
                  <w:r>
                    <w:rPr>
                      <w:rFonts w:ascii="仿宋_GB2312" w:hAnsi="仿宋_GB2312" w:cs="仿宋_GB2312" w:eastAsia="仿宋_GB2312"/>
                      <w:sz w:val="21"/>
                    </w:rPr>
                    <w:t>②</w:t>
                  </w:r>
                  <w:r>
                    <w:rPr>
                      <w:rFonts w:ascii="仿宋_GB2312" w:hAnsi="仿宋_GB2312" w:cs="仿宋_GB2312" w:eastAsia="仿宋_GB2312"/>
                      <w:sz w:val="21"/>
                    </w:rPr>
                    <w:t>磁珠材质 ：超顺磁性氧化铁（</w:t>
                  </w:r>
                  <w:r>
                    <w:rPr>
                      <w:rFonts w:ascii="仿宋_GB2312" w:hAnsi="仿宋_GB2312" w:cs="仿宋_GB2312" w:eastAsia="仿宋_GB2312"/>
                      <w:sz w:val="21"/>
                    </w:rPr>
                    <w:t>Fe₃O₄</w:t>
                  </w:r>
                  <w:r>
                    <w:rPr>
                      <w:rFonts w:ascii="仿宋_GB2312" w:hAnsi="仿宋_GB2312" w:cs="仿宋_GB2312" w:eastAsia="仿宋_GB2312"/>
                      <w:sz w:val="21"/>
                    </w:rPr>
                    <w:t>）或二氧化硅包被的磁珠。</w:t>
                  </w:r>
                  <w:r>
                    <w:br/>
                  </w:r>
                  <w:r>
                    <w:rPr>
                      <w:rFonts w:ascii="仿宋_GB2312" w:hAnsi="仿宋_GB2312" w:cs="仿宋_GB2312" w:eastAsia="仿宋_GB2312"/>
                      <w:sz w:val="21"/>
                    </w:rPr>
                    <w:t>③</w:t>
                  </w:r>
                  <w:r>
                    <w:rPr>
                      <w:rFonts w:ascii="仿宋_GB2312" w:hAnsi="仿宋_GB2312" w:cs="仿宋_GB2312" w:eastAsia="仿宋_GB2312"/>
                      <w:sz w:val="21"/>
                    </w:rPr>
                    <w:t>磁珠洗涤液：</w:t>
                  </w:r>
                  <w:r>
                    <w:rPr>
                      <w:rFonts w:ascii="仿宋_GB2312" w:hAnsi="仿宋_GB2312" w:cs="仿宋_GB2312" w:eastAsia="仿宋_GB2312"/>
                      <w:sz w:val="21"/>
                    </w:rPr>
                    <w:t>NaCl</w:t>
                  </w:r>
                  <w:r>
                    <w:rPr>
                      <w:rFonts w:ascii="仿宋_GB2312" w:hAnsi="仿宋_GB2312" w:cs="仿宋_GB2312" w:eastAsia="仿宋_GB2312"/>
                      <w:sz w:val="21"/>
                    </w:rPr>
                    <w:t>、</w:t>
                  </w:r>
                  <w:r>
                    <w:rPr>
                      <w:rFonts w:ascii="仿宋_GB2312" w:hAnsi="仿宋_GB2312" w:cs="仿宋_GB2312" w:eastAsia="仿宋_GB2312"/>
                      <w:sz w:val="21"/>
                    </w:rPr>
                    <w:t>Tris-HCln</w:t>
                  </w:r>
                  <w:r>
                    <w:br/>
                  </w:r>
                  <w:r>
                    <w:rPr>
                      <w:rFonts w:ascii="仿宋_GB2312" w:hAnsi="仿宋_GB2312" w:cs="仿宋_GB2312" w:eastAsia="仿宋_GB2312"/>
                      <w:sz w:val="21"/>
                    </w:rPr>
                    <w:t>④</w:t>
                  </w:r>
                  <w:r>
                    <w:rPr>
                      <w:rFonts w:ascii="仿宋_GB2312" w:hAnsi="仿宋_GB2312" w:cs="仿宋_GB2312" w:eastAsia="仿宋_GB2312"/>
                      <w:sz w:val="21"/>
                    </w:rPr>
                    <w:t>洗涤缓冲液：洗脱液：低盐缓冲液（如</w:t>
                  </w:r>
                  <w:r>
                    <w:rPr>
                      <w:rFonts w:ascii="仿宋_GB2312" w:hAnsi="仿宋_GB2312" w:cs="仿宋_GB2312" w:eastAsia="仿宋_GB2312"/>
                      <w:sz w:val="21"/>
                    </w:rPr>
                    <w:t>Tris-HCl</w:t>
                  </w:r>
                  <w:r>
                    <w:rPr>
                      <w:rFonts w:ascii="仿宋_GB2312" w:hAnsi="仿宋_GB2312" w:cs="仿宋_GB2312" w:eastAsia="仿宋_GB2312"/>
                      <w:sz w:val="21"/>
                    </w:rPr>
                    <w:t>、</w:t>
                  </w:r>
                  <w:r>
                    <w:rPr>
                      <w:rFonts w:ascii="仿宋_GB2312" w:hAnsi="仿宋_GB2312" w:cs="仿宋_GB2312" w:eastAsia="仿宋_GB2312"/>
                      <w:sz w:val="21"/>
                    </w:rPr>
                    <w:t xml:space="preserve">TE </w:t>
                  </w:r>
                  <w:r>
                    <w:rPr>
                      <w:rFonts w:ascii="仿宋_GB2312" w:hAnsi="仿宋_GB2312" w:cs="仿宋_GB2312" w:eastAsia="仿宋_GB2312"/>
                      <w:sz w:val="21"/>
                    </w:rPr>
                    <w:t>缓冲液或无菌水）</w:t>
                  </w:r>
                  <w:r>
                    <w:br/>
                  </w:r>
                  <w:r>
                    <w:rPr>
                      <w:rFonts w:ascii="仿宋_GB2312" w:hAnsi="仿宋_GB2312" w:cs="仿宋_GB2312" w:eastAsia="仿宋_GB2312"/>
                      <w:sz w:val="21"/>
                    </w:rPr>
                    <w:t>3.</w:t>
                  </w:r>
                  <w:r>
                    <w:rPr>
                      <w:rFonts w:ascii="仿宋_GB2312" w:hAnsi="仿宋_GB2312" w:cs="仿宋_GB2312" w:eastAsia="仿宋_GB2312"/>
                      <w:sz w:val="21"/>
                    </w:rPr>
                    <w:t>存储条件及有效期：常温保存，有效期</w:t>
                  </w:r>
                  <w:r>
                    <w:rPr>
                      <w:rFonts w:ascii="仿宋_GB2312" w:hAnsi="仿宋_GB2312" w:cs="仿宋_GB2312" w:eastAsia="仿宋_GB2312"/>
                      <w:sz w:val="21"/>
                    </w:rPr>
                    <w:t>≥12</w:t>
                  </w:r>
                  <w:r>
                    <w:rPr>
                      <w:rFonts w:ascii="仿宋_GB2312" w:hAnsi="仿宋_GB2312" w:cs="仿宋_GB2312" w:eastAsia="仿宋_GB2312"/>
                      <w:sz w:val="21"/>
                    </w:rPr>
                    <w:t>个月</w:t>
                  </w:r>
                  <w:r>
                    <w:br/>
                  </w:r>
                  <w:r>
                    <w:rPr>
                      <w:rFonts w:ascii="仿宋_GB2312" w:hAnsi="仿宋_GB2312" w:cs="仿宋_GB2312" w:eastAsia="仿宋_GB2312"/>
                      <w:sz w:val="21"/>
                    </w:rPr>
                    <w:t>4.</w:t>
                  </w:r>
                  <w:r>
                    <w:rPr>
                      <w:rFonts w:ascii="仿宋_GB2312" w:hAnsi="仿宋_GB2312" w:cs="仿宋_GB2312" w:eastAsia="仿宋_GB2312"/>
                      <w:sz w:val="21"/>
                    </w:rPr>
                    <w:t>适配仪器：达安</w:t>
                  </w:r>
                  <w:r>
                    <w:rPr>
                      <w:rFonts w:ascii="仿宋_GB2312" w:hAnsi="仿宋_GB2312" w:cs="仿宋_GB2312" w:eastAsia="仿宋_GB2312"/>
                      <w:sz w:val="21"/>
                    </w:rPr>
                    <w:t>DA3200</w:t>
                  </w:r>
                  <w:r>
                    <w:rPr>
                      <w:rFonts w:ascii="仿宋_GB2312" w:hAnsi="仿宋_GB2312" w:cs="仿宋_GB2312" w:eastAsia="仿宋_GB2312"/>
                      <w:sz w:val="21"/>
                    </w:rPr>
                    <w:t>核酸提取仪（医院现用仪器）</w:t>
                  </w:r>
                  <w:r>
                    <w:br/>
                  </w:r>
                  <w:r>
                    <w:rPr>
                      <w:rFonts w:ascii="仿宋_GB2312" w:hAnsi="仿宋_GB2312" w:cs="仿宋_GB2312" w:eastAsia="仿宋_GB2312"/>
                      <w:sz w:val="21"/>
                    </w:rPr>
                    <w:t>5.</w:t>
                  </w:r>
                  <w:r>
                    <w:rPr>
                      <w:rFonts w:ascii="仿宋_GB2312" w:hAnsi="仿宋_GB2312" w:cs="仿宋_GB2312" w:eastAsia="仿宋_GB2312"/>
                      <w:sz w:val="21"/>
                    </w:rPr>
                    <w:t xml:space="preserve">处理时间 ：通常 </w:t>
                  </w:r>
                  <w:r>
                    <w:rPr>
                      <w:rFonts w:ascii="仿宋_GB2312" w:hAnsi="仿宋_GB2312" w:cs="仿宋_GB2312" w:eastAsia="仿宋_GB2312"/>
                      <w:sz w:val="21"/>
                    </w:rPr>
                    <w:t>15–40</w:t>
                  </w:r>
                  <w:r>
                    <w:rPr>
                      <w:rFonts w:ascii="仿宋_GB2312" w:hAnsi="仿宋_GB2312" w:cs="仿宋_GB2312" w:eastAsia="仿宋_GB2312"/>
                      <w:sz w:val="21"/>
                    </w:rPr>
                    <w:t>分钟 （手动）或更短（自动化平台）。</w:t>
                  </w:r>
                  <w:r>
                    <w:br/>
                  </w:r>
                  <w:r>
                    <w:rPr>
                      <w:rFonts w:ascii="仿宋_GB2312" w:hAnsi="仿宋_GB2312" w:cs="仿宋_GB2312" w:eastAsia="仿宋_GB2312"/>
                      <w:sz w:val="21"/>
                    </w:rPr>
                    <w:t>6.</w:t>
                  </w:r>
                  <w:r>
                    <w:rPr>
                      <w:rFonts w:ascii="仿宋_GB2312" w:hAnsi="仿宋_GB2312" w:cs="仿宋_GB2312" w:eastAsia="仿宋_GB2312"/>
                      <w:sz w:val="21"/>
                    </w:rPr>
                    <w:t>适用样本类型：至少含有宫颈脱落细胞等。</w:t>
                  </w:r>
                </w:p>
              </w:tc>
              <w:tc>
                <w:tcPr>
                  <w:tcW w:type="dxa" w:w="441"/>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12.00</w:t>
                  </w:r>
                  <w:r>
                    <w:rPr>
                      <w:rFonts w:ascii="仿宋_GB2312" w:hAnsi="仿宋_GB2312" w:cs="仿宋_GB2312" w:eastAsia="仿宋_GB2312"/>
                      <w:sz w:val="21"/>
                    </w:rPr>
                    <w:t>元</w:t>
                  </w:r>
                  <w:r>
                    <w:rPr>
                      <w:rFonts w:ascii="仿宋_GB2312" w:hAnsi="仿宋_GB2312" w:cs="仿宋_GB2312" w:eastAsia="仿宋_GB2312"/>
                      <w:sz w:val="21"/>
                    </w:rPr>
                    <w:t>/</w:t>
                  </w:r>
                  <w:r>
                    <w:rPr>
                      <w:rFonts w:ascii="仿宋_GB2312" w:hAnsi="仿宋_GB2312" w:cs="仿宋_GB2312" w:eastAsia="仿宋_GB2312"/>
                      <w:sz w:val="21"/>
                    </w:rPr>
                    <w:t>套（货物单价包含包装、运输保险费、装卸费、相关材料费及税金等）</w:t>
                  </w:r>
                </w:p>
              </w:tc>
              <w:tc>
                <w:tcPr>
                  <w:tcW w:type="dxa" w:w="44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暂定采购数量</w:t>
                  </w:r>
                  <w:r>
                    <w:rPr>
                      <w:rFonts w:ascii="仿宋_GB2312" w:hAnsi="仿宋_GB2312" w:cs="仿宋_GB2312" w:eastAsia="仿宋_GB2312"/>
                      <w:sz w:val="21"/>
                    </w:rPr>
                    <w:t>5</w:t>
                  </w:r>
                  <w:r>
                    <w:rPr>
                      <w:rFonts w:ascii="仿宋_GB2312" w:hAnsi="仿宋_GB2312" w:cs="仿宋_GB2312" w:eastAsia="仿宋_GB2312"/>
                      <w:sz w:val="21"/>
                    </w:rPr>
                    <w:t>万套</w:t>
                  </w:r>
                </w:p>
              </w:tc>
            </w:tr>
            <w:tr>
              <w:tc>
                <w:tcPr>
                  <w:tcW w:type="dxa" w:w="1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名称：一次性使用采样盒</w:t>
                  </w:r>
                  <w:r>
                    <w:br/>
                  </w:r>
                  <w:r>
                    <w:rPr>
                      <w:rFonts w:ascii="仿宋_GB2312" w:hAnsi="仿宋_GB2312" w:cs="仿宋_GB2312" w:eastAsia="仿宋_GB2312"/>
                      <w:sz w:val="21"/>
                    </w:rPr>
                    <w:t>①</w:t>
                  </w:r>
                  <w:r>
                    <w:rPr>
                      <w:rFonts w:ascii="仿宋_GB2312" w:hAnsi="仿宋_GB2312" w:cs="仿宋_GB2312" w:eastAsia="仿宋_GB2312"/>
                      <w:sz w:val="21"/>
                    </w:rPr>
                    <w:t>规格：</w:t>
                  </w:r>
                  <w:r>
                    <w:rPr>
                      <w:rFonts w:ascii="仿宋_GB2312" w:hAnsi="仿宋_GB2312" w:cs="仿宋_GB2312" w:eastAsia="仿宋_GB2312"/>
                      <w:sz w:val="21"/>
                    </w:rPr>
                    <w:t>≥2ml/</w:t>
                  </w:r>
                  <w:r>
                    <w:rPr>
                      <w:rFonts w:ascii="仿宋_GB2312" w:hAnsi="仿宋_GB2312" w:cs="仿宋_GB2312" w:eastAsia="仿宋_GB2312"/>
                      <w:sz w:val="21"/>
                    </w:rPr>
                    <w:t>管</w:t>
                  </w:r>
                  <w:r>
                    <w:br/>
                  </w:r>
                  <w:r>
                    <w:rPr>
                      <w:rFonts w:ascii="仿宋_GB2312" w:hAnsi="仿宋_GB2312" w:cs="仿宋_GB2312" w:eastAsia="仿宋_GB2312"/>
                      <w:sz w:val="21"/>
                    </w:rPr>
                    <w:t>②</w:t>
                  </w:r>
                  <w:r>
                    <w:rPr>
                      <w:rFonts w:ascii="仿宋_GB2312" w:hAnsi="仿宋_GB2312" w:cs="仿宋_GB2312" w:eastAsia="仿宋_GB2312"/>
                      <w:sz w:val="21"/>
                    </w:rPr>
                    <w:t>存储条件及有效期：常温存储，有效期</w:t>
                  </w:r>
                  <w:r>
                    <w:rPr>
                      <w:rFonts w:ascii="仿宋_GB2312" w:hAnsi="仿宋_GB2312" w:cs="仿宋_GB2312" w:eastAsia="仿宋_GB2312"/>
                      <w:sz w:val="21"/>
                    </w:rPr>
                    <w:t>≥2</w:t>
                  </w:r>
                  <w:r>
                    <w:rPr>
                      <w:rFonts w:ascii="仿宋_GB2312" w:hAnsi="仿宋_GB2312" w:cs="仿宋_GB2312" w:eastAsia="仿宋_GB2312"/>
                      <w:sz w:val="21"/>
                    </w:rPr>
                    <w:t>年</w:t>
                  </w:r>
                  <w:r>
                    <w:br/>
                  </w:r>
                  <w:r>
                    <w:rPr>
                      <w:rFonts w:ascii="仿宋_GB2312" w:hAnsi="仿宋_GB2312" w:cs="仿宋_GB2312" w:eastAsia="仿宋_GB2312"/>
                      <w:sz w:val="21"/>
                    </w:rPr>
                    <w:t>③</w:t>
                  </w:r>
                  <w:r>
                    <w:rPr>
                      <w:rFonts w:ascii="仿宋_GB2312" w:hAnsi="仿宋_GB2312" w:cs="仿宋_GB2312" w:eastAsia="仿宋_GB2312"/>
                      <w:sz w:val="21"/>
                    </w:rPr>
                    <w:t>预期用途：：用于</w:t>
                  </w:r>
                  <w:r>
                    <w:rPr>
                      <w:rFonts w:ascii="仿宋_GB2312" w:hAnsi="仿宋_GB2312" w:cs="仿宋_GB2312" w:eastAsia="仿宋_GB2312"/>
                      <w:sz w:val="21"/>
                    </w:rPr>
                    <w:t>HPV</w:t>
                  </w:r>
                  <w:r>
                    <w:rPr>
                      <w:rFonts w:ascii="仿宋_GB2312" w:hAnsi="仿宋_GB2312" w:cs="仿宋_GB2312" w:eastAsia="仿宋_GB2312"/>
                      <w:sz w:val="21"/>
                    </w:rPr>
                    <w:t>采样使用</w:t>
                  </w:r>
                  <w:r>
                    <w:br/>
                  </w:r>
                  <w:r>
                    <w:rPr>
                      <w:rFonts w:ascii="仿宋_GB2312" w:hAnsi="仿宋_GB2312" w:cs="仿宋_GB2312" w:eastAsia="仿宋_GB2312"/>
                      <w:sz w:val="21"/>
                    </w:rPr>
                    <w:t>④</w:t>
                  </w:r>
                  <w:r>
                    <w:rPr>
                      <w:rFonts w:ascii="仿宋_GB2312" w:hAnsi="仿宋_GB2312" w:cs="仿宋_GB2312" w:eastAsia="仿宋_GB2312"/>
                      <w:sz w:val="21"/>
                    </w:rPr>
                    <w:t>主要组成成分：</w:t>
                  </w:r>
                  <w:r>
                    <w:br/>
                  </w:r>
                  <w:r>
                    <w:rPr>
                      <w:rFonts w:ascii="仿宋_GB2312" w:hAnsi="仿宋_GB2312" w:cs="仿宋_GB2312" w:eastAsia="仿宋_GB2312"/>
                      <w:sz w:val="21"/>
                    </w:rPr>
                    <w:t>一次性使用采样盒由采样器和保存液瓶两部分组成。其中采样器的采样头为尼龙头，材料为医用级材料制成；柄部：塑料或</w:t>
                  </w:r>
                  <w:r>
                    <w:rPr>
                      <w:rFonts w:ascii="仿宋_GB2312" w:hAnsi="仿宋_GB2312" w:cs="仿宋_GB2312" w:eastAsia="仿宋_GB2312"/>
                      <w:sz w:val="21"/>
                    </w:rPr>
                    <w:t>ABS</w:t>
                  </w:r>
                  <w:r>
                    <w:rPr>
                      <w:rFonts w:ascii="仿宋_GB2312" w:hAnsi="仿宋_GB2312" w:cs="仿宋_GB2312" w:eastAsia="仿宋_GB2312"/>
                      <w:sz w:val="21"/>
                    </w:rPr>
                    <w:t>材质，可能带有折断设计（便于放入保存管）。保存液瓶由医用级聚丙烯（</w:t>
                  </w:r>
                  <w:r>
                    <w:rPr>
                      <w:rFonts w:ascii="仿宋_GB2312" w:hAnsi="仿宋_GB2312" w:cs="仿宋_GB2312" w:eastAsia="仿宋_GB2312"/>
                      <w:sz w:val="21"/>
                    </w:rPr>
                    <w:t>PP</w:t>
                  </w:r>
                  <w:r>
                    <w:rPr>
                      <w:rFonts w:ascii="仿宋_GB2312" w:hAnsi="仿宋_GB2312" w:cs="仿宋_GB2312" w:eastAsia="仿宋_GB2312"/>
                      <w:sz w:val="21"/>
                    </w:rPr>
                    <w:t>）材料制成，保存液为细胞保存液。保存液存入标本后可保存</w:t>
                  </w:r>
                  <w:r>
                    <w:rPr>
                      <w:rFonts w:ascii="仿宋_GB2312" w:hAnsi="仿宋_GB2312" w:cs="仿宋_GB2312" w:eastAsia="仿宋_GB2312"/>
                      <w:sz w:val="21"/>
                    </w:rPr>
                    <w:t>≥15</w:t>
                  </w:r>
                  <w:r>
                    <w:rPr>
                      <w:rFonts w:ascii="仿宋_GB2312" w:hAnsi="仿宋_GB2312" w:cs="仿宋_GB2312" w:eastAsia="仿宋_GB2312"/>
                      <w:sz w:val="21"/>
                    </w:rPr>
                    <w:t>天。</w:t>
                  </w:r>
                </w:p>
              </w:tc>
              <w:tc>
                <w:tcPr>
                  <w:tcW w:type="dxa" w:w="441"/>
                  <w:vMerge/>
                  <w:tcBorders>
                    <w:top w:val="single" w:color="000000" w:sz="4"/>
                    <w:left w:val="none" w:color="000000" w:sz="4"/>
                    <w:bottom w:val="none" w:color="000000" w:sz="4"/>
                    <w:right w:val="single" w:color="000000" w:sz="4"/>
                  </w:tcBorders>
                </w:tcPr>
                <w:p/>
              </w:tc>
              <w:tc>
                <w:tcPr>
                  <w:tcW w:type="dxa" w:w="441"/>
                  <w:vMerge/>
                  <w:tcBorders>
                    <w:top w:val="single" w:color="000000" w:sz="4"/>
                    <w:left w:val="none" w:color="000000" w:sz="4"/>
                    <w:bottom w:val="single" w:color="000000" w:sz="4"/>
                    <w:right w:val="single" w:color="000000" w:sz="4"/>
                  </w:tcBorders>
                </w:tcPr>
                <w:p/>
              </w:tc>
            </w:tr>
          </w:tbl>
          <w:p>
            <w:pPr>
              <w:pStyle w:val="null3"/>
              <w:jc w:val="both"/>
            </w:pPr>
            <w:r>
              <w:rPr>
                <w:rFonts w:ascii="仿宋_GB2312" w:hAnsi="仿宋_GB2312" w:cs="仿宋_GB2312" w:eastAsia="仿宋_GB2312"/>
                <w:sz w:val="21"/>
              </w:rPr>
              <w:t>本项目采购的所有产品均需在</w:t>
            </w:r>
            <w:r>
              <w:rPr>
                <w:rFonts w:ascii="仿宋_GB2312" w:hAnsi="仿宋_GB2312" w:cs="仿宋_GB2312" w:eastAsia="仿宋_GB2312"/>
                <w:sz w:val="21"/>
              </w:rPr>
              <w:t>"</w:t>
            </w:r>
            <w:r>
              <w:rPr>
                <w:rFonts w:ascii="仿宋_GB2312" w:hAnsi="仿宋_GB2312" w:cs="仿宋_GB2312" w:eastAsia="仿宋_GB2312"/>
                <w:sz w:val="21"/>
              </w:rPr>
              <w:t>陕西药品和医用耗材招采管理系统</w:t>
            </w:r>
            <w:r>
              <w:rPr>
                <w:rFonts w:ascii="仿宋_GB2312" w:hAnsi="仿宋_GB2312" w:cs="仿宋_GB2312" w:eastAsia="仿宋_GB2312"/>
                <w:sz w:val="21"/>
              </w:rPr>
              <w:t>"</w:t>
            </w:r>
            <w:r>
              <w:rPr>
                <w:rFonts w:ascii="仿宋_GB2312" w:hAnsi="仿宋_GB2312" w:cs="仿宋_GB2312" w:eastAsia="仿宋_GB2312"/>
                <w:sz w:val="21"/>
              </w:rPr>
              <w:t>进行采购（提供承诺函）。</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合同签订后15个月（成交人在接到采购人的采购清单后72小时内货物交付到采购人指定地点，当采购金额达预算金额后，合同自动终止）</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交货验收入库时，乙方向甲方开具正规发票，并提供所供货品的进货发票，进货发票金额不得遮盖，确保“两票制”，乙方要如实开具发票，不得变更开票内容，乙方开具发票出现税务争议时，乙方需承担税款、滞纳金、罚款等赔偿责任以及其他相关责任（具体以签订合同为准）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质量保证：乙方承诺所提供的医疗卫生耗材必须是符合药监部门质量标准的合格产品，进货渠道正常，并具备正规的产品注册证登记表、生产许可证，配送耗材时须提供配送批次产品的合格证明资料、检测报告、卫生安全评价报告等 (二)、乙方不仅应随耗材向甲方提供使用说明书、质量标准或甲方所要求的相关资料，同时乙方须保证甲方在使用过程中的技术支持及售后服务，否则，甲方有权拒收耗材或则退货，责任由乙方承担。 (三)、乙方配送的耗材日期距离其出厂日期不得超过该耗材有效期的三分之一时间段。如过该耗材有效期超过三分之一时间段，甲方有权拒收或选择退货，由此造成的损失由乙方承担。 (四)、包装及其他要求：符合出厂要求、包装完整无破损；包装标识清楚，进口设备应具有原产国标识及中文标识且标识必须清楚，配送产品必须为全新未拆封产品且渠道合法。 (五)、乙方所提供的医用卫生耗材在有效期内出现质量问题，甲方有权利要求乙方退货或换货，乙方接到甲方通知，退换货时间不超过72小时。</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成交供应商须在成交公示发出后3个工作日内，递交纸质版投标文件（封面盖鲜章）3份至招标代理公司。</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2）财务状况报告：提供具有财务审计资质单位出具的2024年度财务报告（成立时间至磋商时间不足一年的可提供成立后任意时段的资产负债表）或磋商前六个月内其基本账户银行出具的资信证明；（3）税收缴纳证明：提供截止至磋商时间前一年内任意一个月的缴费凭据；（依法免税的供应商应提供相关文件证明）；（4）社会保障资金缴纳证明：提供截止至磋商时间前一年内任意一个月的社保缴费凭据或社保机构开具的社会保险参保缴费情况证明；（依法不需要缴纳社会保障资金的供应商应提供相关证明）；（5）提供具有履行本合同所必需的设备和专业技术能力的说明及承诺；（提供书面说明及承诺，加盖供应商公章）；（6）提供参加政府采购活动前三年内在经营活动中没有重大违法记录的书面声明。（提供书面声明，加盖供应商公章）；（7）供应商不得为“信用中国”网站(http://www.credit china.gov.cn)列入“严重失信主体、经营异常名录、重大税收违法失信主体、政府采购严重违法失信行为记录名单”；不得为中国政府采购网(http://www.ccgp.gov.cn)“政府采购严重违法失信行为记录名单”中的供应商；（8）本项目不接受联合体磋商；</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 （1）提供具有财务审计资质单位出具的2024年度财务报告，须提供会计师事务所出具的审计报告复印件,复印件至少须包括报告正文、资产负债表、现金流量表、利润表、附注和会计师事务所营业执照，报告正文应当有会计师事务所公章和2名注册会计师的签字及盖章（成立时间至磋商时间不足一年的可提供成立后任意时段的资产负债表）。 （2）磋商前六个月内其基本账户银行出具的资信证明原件或复印件。</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响应《响应函》及《供应商控股股东名称、控股公司的名称和存在管理、被管理关系的单位名称说明》。</w:t>
            </w:r>
          </w:p>
        </w:tc>
        <w:tc>
          <w:tcPr>
            <w:tcW w:type="dxa" w:w="1661"/>
          </w:tcPr>
          <w:p>
            <w:pPr>
              <w:pStyle w:val="null3"/>
            </w:pPr>
            <w:r>
              <w:rPr>
                <w:rFonts w:ascii="仿宋_GB2312" w:hAnsi="仿宋_GB2312" w:cs="仿宋_GB2312" w:eastAsia="仿宋_GB2312"/>
              </w:rPr>
              <w:t>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法定代表人/单位法定代表人/单位负责人身份证明书、授权委托书及社保证明负责人身份证明书、授权委托书及社保证明</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近3个月内任意1个月在本单位缴纳的社保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供应商为制造厂家的需提供《医疗器械生产许可证》或《医疗器械生产备案凭证》；供应商为经销商的需提供《医疗器械经营许可证》或《医疗器械经营备案凭证》，并提供生产厂家的《医疗器械生产许可证》或《医疗器械生产备案凭证》（若所投产品不属于医疗器械的则无需提供）；</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医疗器械注册证</w:t>
            </w:r>
          </w:p>
        </w:tc>
        <w:tc>
          <w:tcPr>
            <w:tcW w:type="dxa" w:w="3322"/>
          </w:tcPr>
          <w:p>
            <w:pPr>
              <w:pStyle w:val="null3"/>
            </w:pPr>
            <w:r>
              <w:rPr>
                <w:rFonts w:ascii="仿宋_GB2312" w:hAnsi="仿宋_GB2312" w:cs="仿宋_GB2312" w:eastAsia="仿宋_GB2312"/>
              </w:rPr>
              <w:t>投标产品属于医疗器械管理范围的须提供医疗器械注册证。</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响应文件的有效性</w:t>
            </w:r>
          </w:p>
        </w:tc>
        <w:tc>
          <w:tcPr>
            <w:tcW w:type="dxa" w:w="3322"/>
          </w:tcPr>
          <w:p>
            <w:pPr>
              <w:pStyle w:val="null3"/>
            </w:pPr>
            <w:r>
              <w:rPr>
                <w:rFonts w:ascii="仿宋_GB2312" w:hAnsi="仿宋_GB2312" w:cs="仿宋_GB2312" w:eastAsia="仿宋_GB2312"/>
              </w:rPr>
              <w:t>响应文件的有效性（签字、时间、盖章等）</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标的清单 资格证明材料.docx 承诺文件.docx 响应函 监狱企业的证明文件 供货方案说明书.docx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标的清单 资格证明材料.docx 承诺文件.docx 响应函 其他.docx 供货方案说明书.docx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w:t>
            </w:r>
          </w:p>
        </w:tc>
        <w:tc>
          <w:tcPr>
            <w:tcW w:type="dxa" w:w="3322"/>
          </w:tcPr>
          <w:p>
            <w:pPr>
              <w:pStyle w:val="null3"/>
            </w:pPr>
            <w:r>
              <w:rPr>
                <w:rFonts w:ascii="仿宋_GB2312" w:hAnsi="仿宋_GB2312" w:cs="仿宋_GB2312" w:eastAsia="仿宋_GB2312"/>
              </w:rPr>
              <w:t>响应文件的响应性（是否存在实质性偏离、缺项、漏项等）</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标的清单 资格证明材料.docx 承诺文件.docx 响应函 其他.docx 监狱企业的证明文件 供货方案说明书.docx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有效期达到磋商文件的要求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只能有一个有效报价，不得提交选择性报价，且报价不超过采购预算（最高限价）金额</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响应亲属关系声明函、严格遵守“两票制”承诺函、"陕西药品和医用耗材招采管理系统"采购承诺函</w:t>
            </w:r>
          </w:p>
        </w:tc>
        <w:tc>
          <w:tcPr>
            <w:tcW w:type="dxa" w:w="1661"/>
          </w:tcPr>
          <w:p>
            <w:pPr>
              <w:pStyle w:val="null3"/>
            </w:pPr>
            <w:r>
              <w:rPr>
                <w:rFonts w:ascii="仿宋_GB2312" w:hAnsi="仿宋_GB2312" w:cs="仿宋_GB2312" w:eastAsia="仿宋_GB2312"/>
              </w:rPr>
              <w:t>响应文件封面 承诺文件.docx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供应商所响应产品含有属于政府优先采购产品类别的产品，须按照《财政部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号）要求提供国家确定的认证机构出具的、处于有效期之内的节能产品或环境标志产品认证证书，每提供一个得1分，满分2分。政府强制采购产品不予加分。 备注：以加盖供应商公章的证明材料为计分依据。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供货方案说明书.docx</w:t>
            </w:r>
          </w:p>
        </w:tc>
      </w:tr>
      <w:tr>
        <w:tc>
          <w:tcPr>
            <w:tcW w:type="dxa" w:w="831"/>
            <w:vMerge/>
          </w:tcP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响应产品的技术指标评审：完全响应或优于得20分。技术指标参数一项不满足扣2分，扣完为止。（详见技术偏离表，检测报告、产品说明书、官网截图等佐证材料）</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供货方案说明书.docx</w:t>
            </w:r>
          </w:p>
        </w:tc>
      </w:tr>
      <w:tr>
        <w:tc>
          <w:tcPr>
            <w:tcW w:type="dxa" w:w="831"/>
            <w:vMerge/>
          </w:tcPr>
          <w:p/>
        </w:tc>
        <w:tc>
          <w:tcPr>
            <w:tcW w:type="dxa" w:w="1661"/>
          </w:tcPr>
          <w:p>
            <w:pPr>
              <w:pStyle w:val="null3"/>
            </w:pPr>
            <w:r>
              <w:rPr>
                <w:rFonts w:ascii="仿宋_GB2312" w:hAnsi="仿宋_GB2312" w:cs="仿宋_GB2312" w:eastAsia="仿宋_GB2312"/>
              </w:rPr>
              <w:t>投标产品的可靠性评审</w:t>
            </w:r>
          </w:p>
        </w:tc>
        <w:tc>
          <w:tcPr>
            <w:tcW w:type="dxa" w:w="2492"/>
          </w:tcPr>
          <w:p>
            <w:pPr>
              <w:pStyle w:val="null3"/>
            </w:pPr>
            <w:r>
              <w:rPr>
                <w:rFonts w:ascii="仿宋_GB2312" w:hAnsi="仿宋_GB2312" w:cs="仿宋_GB2312" w:eastAsia="仿宋_GB2312"/>
              </w:rPr>
              <w:t>供应商提供响应产品的货源渠道或来源，产品的材料和质量说明，产品的稳定性和安全性说明。响应产品货源渠道或来源明确清楚，选材用料优良、有品质保障，产品的稳定性和安全性有保障，得5分；响应产品货源渠道或来源清楚，选材用料符合要求、有品质保障，产品的稳定性和安全性有说明，得4分；响应产品货源渠道或来源清楚，选材用料符合要求、有品质保障，产品的稳定性和安全性说明不详细不具体，得2分；响应产品货源渠道清楚，选材用料基本符合要求、有基础的品质保障，有产品的稳定性和安全性说明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供货方案说明书.docx</w:t>
            </w:r>
          </w:p>
        </w:tc>
      </w:tr>
      <w:tr>
        <w:tc>
          <w:tcPr>
            <w:tcW w:type="dxa" w:w="831"/>
            <w:vMerge/>
          </w:tcPr>
          <w:p/>
        </w:tc>
        <w:tc>
          <w:tcPr>
            <w:tcW w:type="dxa" w:w="1661"/>
          </w:tcPr>
          <w:p>
            <w:pPr>
              <w:pStyle w:val="null3"/>
            </w:pPr>
            <w:r>
              <w:rPr>
                <w:rFonts w:ascii="仿宋_GB2312" w:hAnsi="仿宋_GB2312" w:cs="仿宋_GB2312" w:eastAsia="仿宋_GB2312"/>
              </w:rPr>
              <w:t>供货组织安排及进度计划安排</w:t>
            </w:r>
          </w:p>
        </w:tc>
        <w:tc>
          <w:tcPr>
            <w:tcW w:type="dxa" w:w="2492"/>
          </w:tcPr>
          <w:p>
            <w:pPr>
              <w:pStyle w:val="null3"/>
            </w:pPr>
            <w:r>
              <w:rPr>
                <w:rFonts w:ascii="仿宋_GB2312" w:hAnsi="仿宋_GB2312" w:cs="仿宋_GB2312" w:eastAsia="仿宋_GB2312"/>
              </w:rPr>
              <w:t>①方案内容完整、可实施、且有针对性得7分；②内容完整、可实施得5分；③方案基本完整得3分；④方案内容不完整得1分；⑤未提供不得分。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供货方案说明书.docx</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①人员配备充足、可以满足项目实施、且针对性较强得5分；②人员配备能够满足需求、针对性一般，基本可以满足项目实施得3分；③人员配备基本满足，可以满足项目实施得1分；④未提供不得分。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供货方案说明书.docx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①方案内容完整、可实施、且有针对性得7分；②内容完整、可实施得5分；③方案基本完整得3分；④方案内容不完整得1分；⑤未提供不得分。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供货方案说明书.docx</w:t>
            </w:r>
          </w:p>
        </w:tc>
      </w:tr>
      <w:tr>
        <w:tc>
          <w:tcPr>
            <w:tcW w:type="dxa" w:w="831"/>
            <w:vMerge/>
          </w:tcPr>
          <w:p/>
        </w:tc>
        <w:tc>
          <w:tcPr>
            <w:tcW w:type="dxa" w:w="1661"/>
          </w:tcPr>
          <w:p>
            <w:pPr>
              <w:pStyle w:val="null3"/>
            </w:pPr>
            <w:r>
              <w:rPr>
                <w:rFonts w:ascii="仿宋_GB2312" w:hAnsi="仿宋_GB2312" w:cs="仿宋_GB2312" w:eastAsia="仿宋_GB2312"/>
              </w:rPr>
              <w:t>售后服务范围及保障措施</w:t>
            </w:r>
          </w:p>
        </w:tc>
        <w:tc>
          <w:tcPr>
            <w:tcW w:type="dxa" w:w="2492"/>
          </w:tcPr>
          <w:p>
            <w:pPr>
              <w:pStyle w:val="null3"/>
            </w:pPr>
            <w:r>
              <w:rPr>
                <w:rFonts w:ascii="仿宋_GB2312" w:hAnsi="仿宋_GB2312" w:cs="仿宋_GB2312" w:eastAsia="仿宋_GB2312"/>
              </w:rPr>
              <w:t>①方案内容完整、可实施、且有针对性得7分；②内容完整、可实施得5分；③方案基本完整得3分；④方案内容不完整得1分；⑤未提供不得分。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供货方案说明书.docx</w:t>
            </w:r>
          </w:p>
        </w:tc>
      </w:tr>
      <w:tr>
        <w:tc>
          <w:tcPr>
            <w:tcW w:type="dxa" w:w="831"/>
            <w:vMerge/>
          </w:tcPr>
          <w:p/>
        </w:tc>
        <w:tc>
          <w:tcPr>
            <w:tcW w:type="dxa" w:w="1661"/>
          </w:tcPr>
          <w:p>
            <w:pPr>
              <w:pStyle w:val="null3"/>
            </w:pPr>
            <w:r>
              <w:rPr>
                <w:rFonts w:ascii="仿宋_GB2312" w:hAnsi="仿宋_GB2312" w:cs="仿宋_GB2312" w:eastAsia="仿宋_GB2312"/>
              </w:rPr>
              <w:t>物力调配、运输及应急保障措施</w:t>
            </w:r>
          </w:p>
        </w:tc>
        <w:tc>
          <w:tcPr>
            <w:tcW w:type="dxa" w:w="2492"/>
          </w:tcPr>
          <w:p>
            <w:pPr>
              <w:pStyle w:val="null3"/>
            </w:pPr>
            <w:r>
              <w:rPr>
                <w:rFonts w:ascii="仿宋_GB2312" w:hAnsi="仿宋_GB2312" w:cs="仿宋_GB2312" w:eastAsia="仿宋_GB2312"/>
              </w:rPr>
              <w:t>①方案内容完整、可实施、且有针对性得7分；②内容完整、可实施得5分；③方案基本完整得3分；④方案内容不完整得1分；⑤未提供不得分。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提供供应商2023年1月1日以来的类似项目业绩，以签订的合同为评审依据，每提供一份得2分，满分10分，未提供的、时间不符合的、内容不符合的不得分。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满足采购文件要求且磋商价格最低的响应报价为评审基准价，其价格分为满分。其他供应商的价格分统一按照下列公式计算：磋商报价得分=（评审基准价/磋商报价）×30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详见附件：供货方案说明书.docx</w:t>
      </w:r>
    </w:p>
    <w:p>
      <w:pPr>
        <w:pStyle w:val="null3"/>
        <w:ind w:firstLine="960"/>
      </w:pPr>
      <w:r>
        <w:rPr>
          <w:rFonts w:ascii="仿宋_GB2312" w:hAnsi="仿宋_GB2312" w:cs="仿宋_GB2312" w:eastAsia="仿宋_GB2312"/>
        </w:rPr>
        <w:t>详见附件：承诺文件.docx</w:t>
      </w:r>
    </w:p>
    <w:p>
      <w:pPr>
        <w:pStyle w:val="null3"/>
        <w:ind w:firstLine="960"/>
      </w:pPr>
      <w:r>
        <w:rPr>
          <w:rFonts w:ascii="仿宋_GB2312" w:hAnsi="仿宋_GB2312" w:cs="仿宋_GB2312" w:eastAsia="仿宋_GB2312"/>
        </w:rPr>
        <w:t>详见附件：其他.docx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