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版本号：SXJTZB-ZC-CS2026010420260206002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医保智能审核系统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SXJTZB-ZC-CS20260104</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医保智能审核系统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SXJTZB-ZC-CS20260104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医保智能审核系统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九医院医保智能审核系统的需求包括：住院、门诊业务医保事前审核；住院业务医保事中审核；医保事后数据分析；医保转自费项目的系统审批；全量医保规则库，包含药品、诊疗、耗材等相关政策类要求，并可以按院内需求建立本地知识库，对院内医保业务进行审核预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采购包1（医保智能审核系统）：属于专门面向中小企业采购。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1月至今任意一个月的纳税证明或完税证明（提供增值税、企业所得税至少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1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6、三年内无重大违法记录声明：出具参加本次政府采购活动前三年内在经营活动中没有重大违法记录的书面声明；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并提供被授权代表响应文件提交截止时间前三个月内任意一个月在本单位的社会保险缴纳证明；</w:t>
      </w:r>
    </w:p>
    <w:p>
      <w:pPr>
        <w:pStyle w:val="null3"/>
      </w:pPr>
      <w:r>
        <w:rPr>
          <w:rFonts w:ascii="仿宋_GB2312" w:hAnsi="仿宋_GB2312" w:cs="仿宋_GB2312" w:eastAsia="仿宋_GB2312"/>
        </w:rPr>
        <w:t>8、声明函：本项目不接受西安市第九医院职工及其亲属投资开办企业参与本单位的采购活动；</w:t>
      </w:r>
    </w:p>
    <w:p>
      <w:pPr>
        <w:pStyle w:val="null3"/>
      </w:pPr>
      <w:r>
        <w:rPr>
          <w:rFonts w:ascii="仿宋_GB2312" w:hAnsi="仿宋_GB2312" w:cs="仿宋_GB2312" w:eastAsia="仿宋_GB2312"/>
        </w:rPr>
        <w:t>9、本项目不接受联合体磋商：本项目不接受联合体磋商（提供书面声明材料）。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张荷、贾婵、王琳娜、曾小旦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招标代理服务费的计算方法：招标代理服务费以中标（成交）供应商的中标（成交）金额为基数，在《国家计委关于印发&lt;招标代理服务收费管理暂行办法&gt;的通知》（计价格[2002]1980号）规定标准的基础上下浮 20%。 （二）成交服务费可以采取现金、支票、银行汇票、电汇、网银等方式缴纳。 （三）成交供应商服务费交纳信息：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联系人：张荷、贾婵、王琳娜、曾小旦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九医院医保智能审核系统的需求包括：住院、门诊业务医保事前审核；住院业务医保事中审核；医保事后数据分析；医保转自费项目的系统审批；全量医保规则库，包含药品、诊疗、耗材等相关政策类要求，并可以按院内需求建立本地知识库，对院内医保业务进行审核预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医保智能审核系统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标的名称：医保智能审核系统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1.技术参数要求：满足工作需求</w:t>
            </w:r>
          </w:p>
          <w:p>
            <w:pPr>
              <w:pStyle w:val="null3"/>
              <w:jc w:val="both"/>
            </w:pPr>
            <w:r>
              <w:rPr>
                <w:rFonts w:ascii="仿宋_GB2312" w:hAnsi="仿宋_GB2312" w:cs="仿宋_GB2312" w:eastAsia="仿宋_GB2312"/>
                <w:sz w:val="21"/>
              </w:rPr>
              <w:t>1、建设目标</w:t>
            </w:r>
          </w:p>
          <w:p>
            <w:pPr>
              <w:pStyle w:val="null3"/>
              <w:jc w:val="both"/>
            </w:pPr>
            <w:r>
              <w:rPr>
                <w:rFonts w:ascii="仿宋_GB2312" w:hAnsi="仿宋_GB2312" w:cs="仿宋_GB2312" w:eastAsia="仿宋_GB2312"/>
                <w:sz w:val="21"/>
              </w:rPr>
              <w:t>通过在医院</w:t>
            </w:r>
            <w:r>
              <w:rPr>
                <w:rFonts w:ascii="仿宋_GB2312" w:hAnsi="仿宋_GB2312" w:cs="仿宋_GB2312" w:eastAsia="仿宋_GB2312"/>
                <w:sz w:val="21"/>
              </w:rPr>
              <w:t>HIS系统上嵌入医保智能审核系统，从合理规范诊疗、医保政策依从性方面，结合医院内部管理需要和医保基金监管重点方向、日常检查、交叉检查发现的问题，引入可以灵活自定义配置的规则库，对药品、诊疗、耗材收费中项目进行审核预警，实现在院内事前医生医嘱审核、事中护士出科核对、事后分析的全流程系统自动化监控。从而达到规范医生合理合规诊疗，避免因医保基金不合理支出被查处的目标。</w:t>
            </w:r>
          </w:p>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2.1总体要求</w:t>
            </w:r>
          </w:p>
          <w:p>
            <w:pPr>
              <w:pStyle w:val="null3"/>
              <w:jc w:val="both"/>
            </w:pPr>
            <w:r>
              <w:rPr>
                <w:rFonts w:ascii="仿宋_GB2312" w:hAnsi="仿宋_GB2312" w:cs="仿宋_GB2312" w:eastAsia="仿宋_GB2312"/>
                <w:sz w:val="21"/>
              </w:rPr>
              <w:t>总体架构：总体架构设计需要具有先进行、可靠性、易操作性、可维护性。</w:t>
            </w:r>
          </w:p>
          <w:p>
            <w:pPr>
              <w:pStyle w:val="null3"/>
              <w:jc w:val="both"/>
            </w:pPr>
            <w:r>
              <w:rPr>
                <w:rFonts w:ascii="仿宋_GB2312" w:hAnsi="仿宋_GB2312" w:cs="仿宋_GB2312" w:eastAsia="仿宋_GB2312"/>
                <w:sz w:val="21"/>
              </w:rPr>
              <w:t>技术要求：采用</w:t>
            </w:r>
            <w:r>
              <w:rPr>
                <w:rFonts w:ascii="仿宋_GB2312" w:hAnsi="仿宋_GB2312" w:cs="仿宋_GB2312" w:eastAsia="仿宋_GB2312"/>
                <w:sz w:val="21"/>
              </w:rPr>
              <w:t xml:space="preserve"> B/S 架构，遵循J2EE规范的系统架构和技术，采用组件化应用开发技术</w:t>
            </w:r>
            <w:r>
              <w:rPr>
                <w:rFonts w:ascii="仿宋_GB2312" w:hAnsi="仿宋_GB2312" w:cs="仿宋_GB2312" w:eastAsia="仿宋_GB2312"/>
                <w:sz w:val="21"/>
              </w:rPr>
              <w:t>；违规疑点以系统弹窗的形式进行实时提醒。</w:t>
            </w:r>
          </w:p>
          <w:p>
            <w:pPr>
              <w:pStyle w:val="null3"/>
              <w:jc w:val="both"/>
            </w:pPr>
            <w:r>
              <w:rPr>
                <w:rFonts w:ascii="仿宋_GB2312" w:hAnsi="仿宋_GB2312" w:cs="仿宋_GB2312" w:eastAsia="仿宋_GB2312"/>
                <w:sz w:val="21"/>
              </w:rPr>
              <w:t>系统安全要求：在软件系统开发部署生命周期进行安全保障。系统建设部署完成后进行安全测试和最终上线安全测试，</w:t>
            </w:r>
            <w:r>
              <w:rPr>
                <w:rFonts w:ascii="仿宋_GB2312" w:hAnsi="仿宋_GB2312" w:cs="仿宋_GB2312" w:eastAsia="仿宋_GB2312"/>
                <w:sz w:val="21"/>
              </w:rPr>
              <w:t>并提供正式的测试报告，</w:t>
            </w:r>
            <w:r>
              <w:rPr>
                <w:rFonts w:ascii="仿宋_GB2312" w:hAnsi="仿宋_GB2312" w:cs="仿宋_GB2312" w:eastAsia="仿宋_GB2312"/>
                <w:sz w:val="21"/>
              </w:rPr>
              <w:t>满足系统全生命周期的安全要求。</w:t>
            </w:r>
          </w:p>
          <w:p>
            <w:pPr>
              <w:pStyle w:val="null3"/>
              <w:jc w:val="both"/>
            </w:pPr>
            <w:r>
              <w:rPr>
                <w:rFonts w:ascii="仿宋_GB2312" w:hAnsi="仿宋_GB2312" w:cs="仿宋_GB2312" w:eastAsia="仿宋_GB2312"/>
                <w:sz w:val="21"/>
              </w:rPr>
              <w:t>2.2门诊事前审核</w:t>
            </w:r>
          </w:p>
          <w:p>
            <w:pPr>
              <w:pStyle w:val="null3"/>
              <w:jc w:val="both"/>
            </w:pPr>
            <w:r>
              <w:rPr>
                <w:rFonts w:ascii="仿宋_GB2312" w:hAnsi="仿宋_GB2312" w:cs="仿宋_GB2312" w:eastAsia="仿宋_GB2312"/>
                <w:sz w:val="21"/>
              </w:rPr>
              <w:t>2.2.1▲门诊实时审核(指标1)</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在医师开具普通门诊处方时，</w:t>
            </w:r>
            <w:r>
              <w:rPr>
                <w:rFonts w:ascii="仿宋_GB2312" w:hAnsi="仿宋_GB2312" w:cs="仿宋_GB2312" w:eastAsia="仿宋_GB2312"/>
                <w:sz w:val="21"/>
              </w:rPr>
              <w:t>HIS系统自动调用审核服务，筛查出处方明细中存在的违规疑点并实时提醒医师，医师可根据引导提示做相应的操作。投标人应提供“门诊审核”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2.2.2门诊特慢病实时审核(指标2)</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在医师开具门特慢处方时，</w:t>
            </w:r>
            <w:r>
              <w:rPr>
                <w:rFonts w:ascii="仿宋_GB2312" w:hAnsi="仿宋_GB2312" w:cs="仿宋_GB2312" w:eastAsia="仿宋_GB2312"/>
                <w:sz w:val="21"/>
              </w:rPr>
              <w:t>HIS系统自动调用审核服务，筛查出方案/处方明细中存在的违规疑点并实时提醒医师，医师可根据引导提示做相应的操作。</w:t>
            </w:r>
          </w:p>
          <w:p>
            <w:pPr>
              <w:pStyle w:val="null3"/>
              <w:jc w:val="both"/>
            </w:pPr>
            <w:r>
              <w:rPr>
                <w:rFonts w:ascii="仿宋_GB2312" w:hAnsi="仿宋_GB2312" w:cs="仿宋_GB2312" w:eastAsia="仿宋_GB2312"/>
                <w:sz w:val="21"/>
              </w:rPr>
              <w:t>2.2.3门诊事前疑点清单(指标3)</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查看通过预警时间、违规级别、是否遵从、预警科室、医生、费用类别、规则名称、项目编码、项目名称等条件过滤查询疑点清单，可查看疑点详情（包含就诊信息、疑点列表、诊断信息、医嘱信息），并且提供疑点清单下载功能。</w:t>
            </w:r>
          </w:p>
          <w:p>
            <w:pPr>
              <w:pStyle w:val="null3"/>
              <w:jc w:val="both"/>
            </w:pPr>
            <w:r>
              <w:rPr>
                <w:rFonts w:ascii="仿宋_GB2312" w:hAnsi="仿宋_GB2312" w:cs="仿宋_GB2312" w:eastAsia="仿宋_GB2312"/>
                <w:sz w:val="21"/>
              </w:rPr>
              <w:t>2.3住院事前审核</w:t>
            </w:r>
          </w:p>
          <w:p>
            <w:pPr>
              <w:pStyle w:val="null3"/>
              <w:jc w:val="both"/>
            </w:pPr>
            <w:r>
              <w:rPr>
                <w:rFonts w:ascii="仿宋_GB2312" w:hAnsi="仿宋_GB2312" w:cs="仿宋_GB2312" w:eastAsia="仿宋_GB2312"/>
                <w:sz w:val="21"/>
              </w:rPr>
              <w:t>2.3.1▲住院医嘱实时审核(指标4)</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在住院医师开具医嘱时，筛查出本次医嘱中存在的违规疑点并实时提醒医师，医师可根据引导提示做相应的操作。投标人应提供</w:t>
            </w:r>
            <w:r>
              <w:rPr>
                <w:rFonts w:ascii="仿宋_GB2312" w:hAnsi="仿宋_GB2312" w:cs="仿宋_GB2312" w:eastAsia="仿宋_GB2312"/>
                <w:sz w:val="21"/>
              </w:rPr>
              <w:t>“住院审核”同类型技术能力佐证材料（不限于软件知识产权或技术测试报告或专业机构出具的认证报告等。如投标人提供“技术测试报告”或“专业机构出具的认证报告”）。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2.3.2住院事前疑点清单(指标5)</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查看通过预警时间、违规级别、是否遵从、预警科室、医生、费用类别、规则名称、项目编码、项目名称等条件过滤查询疑点清单，可查看疑点详情（包含就诊信息、疑点列表、诊断信息、医嘱信息），并且提供疑点清单下载功能。</w:t>
            </w:r>
          </w:p>
          <w:p>
            <w:pPr>
              <w:pStyle w:val="null3"/>
              <w:jc w:val="both"/>
            </w:pPr>
            <w:r>
              <w:rPr>
                <w:rFonts w:ascii="仿宋_GB2312" w:hAnsi="仿宋_GB2312" w:cs="仿宋_GB2312" w:eastAsia="仿宋_GB2312"/>
                <w:sz w:val="21"/>
              </w:rPr>
              <w:t>2.4住院事中审核</w:t>
            </w:r>
          </w:p>
          <w:p>
            <w:pPr>
              <w:pStyle w:val="null3"/>
              <w:jc w:val="both"/>
            </w:pPr>
            <w:r>
              <w:rPr>
                <w:rFonts w:ascii="仿宋_GB2312" w:hAnsi="仿宋_GB2312" w:cs="仿宋_GB2312" w:eastAsia="仿宋_GB2312"/>
                <w:sz w:val="21"/>
              </w:rPr>
              <w:t>2.4.1▲住院每晚预审(指标6)</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每晚定时获取在院患者的费用信息和诊疗信息，对在院患者的全部费用明细进行审核，</w:t>
            </w:r>
            <w:r>
              <w:rPr>
                <w:rFonts w:ascii="仿宋_GB2312" w:hAnsi="仿宋_GB2312" w:cs="仿宋_GB2312" w:eastAsia="仿宋_GB2312"/>
                <w:sz w:val="21"/>
              </w:rPr>
              <w:t>具有</w:t>
            </w:r>
            <w:r>
              <w:rPr>
                <w:rFonts w:ascii="仿宋_GB2312" w:hAnsi="仿宋_GB2312" w:cs="仿宋_GB2312" w:eastAsia="仿宋_GB2312"/>
                <w:sz w:val="21"/>
              </w:rPr>
              <w:t>管理人员在系统中进行查看，</w:t>
            </w:r>
            <w:r>
              <w:rPr>
                <w:rFonts w:ascii="仿宋_GB2312" w:hAnsi="仿宋_GB2312" w:cs="仿宋_GB2312" w:eastAsia="仿宋_GB2312"/>
                <w:sz w:val="21"/>
              </w:rPr>
              <w:t>具有</w:t>
            </w:r>
            <w:r>
              <w:rPr>
                <w:rFonts w:ascii="仿宋_GB2312" w:hAnsi="仿宋_GB2312" w:cs="仿宋_GB2312" w:eastAsia="仿宋_GB2312"/>
                <w:sz w:val="21"/>
              </w:rPr>
              <w:t>按照病区、开单、执行、开单</w:t>
            </w:r>
            <w:r>
              <w:rPr>
                <w:rFonts w:ascii="仿宋_GB2312" w:hAnsi="仿宋_GB2312" w:cs="仿宋_GB2312" w:eastAsia="仿宋_GB2312"/>
                <w:sz w:val="21"/>
              </w:rPr>
              <w:t>+执行等不同模式预审。投标人应提供“主动预警”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2.4.2住院事中疑点清单(指标7)</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查看通过预警时间、违规级别、是否遵从、预警科室、医生、费用类别、规则名称、项目编码、项目名称等条件过滤查询疑点清单，可查看疑点详情（包含就诊信息、疑点列表、诊断信息、医嘱信息），并且提供疑点清单下载功能。</w:t>
            </w:r>
          </w:p>
          <w:p>
            <w:pPr>
              <w:pStyle w:val="null3"/>
              <w:jc w:val="both"/>
            </w:pPr>
            <w:r>
              <w:rPr>
                <w:rFonts w:ascii="仿宋_GB2312" w:hAnsi="仿宋_GB2312" w:cs="仿宋_GB2312" w:eastAsia="仿宋_GB2312"/>
                <w:sz w:val="21"/>
              </w:rPr>
              <w:t>2.4.3▲医生站出科实时审核(指标8)</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医师在患者转科或下达出院医嘱时对患者本次住院所有费用明细进行实时审核，系统自动调用审核服务，筛查出本次住院费用存在的违规疑点，医生可根据引导提示做相应的操作。投标人应提供</w:t>
            </w:r>
            <w:r>
              <w:rPr>
                <w:rFonts w:ascii="仿宋_GB2312" w:hAnsi="仿宋_GB2312" w:cs="仿宋_GB2312" w:eastAsia="仿宋_GB2312"/>
                <w:sz w:val="21"/>
              </w:rPr>
              <w:t>“临床辅助”同类型技术能力佐证材料（不限于软件知识产权或技术测试报告或专业机构出具的认证报告等。如投标人提供“技术测试报告”或“专业机构出具的认证报告”）。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2.4.4护士站出科实时审核(指标9)</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护士在患者转科或出院前对患者本次住院所有费用明细进行实时审核，系统自动调用审核服务，筛查出本次住院费用存在的违规疑点，护士可根据引导提示做相应的操作。</w:t>
            </w:r>
          </w:p>
          <w:p>
            <w:pPr>
              <w:pStyle w:val="null3"/>
              <w:jc w:val="both"/>
            </w:pPr>
            <w:r>
              <w:rPr>
                <w:rFonts w:ascii="仿宋_GB2312" w:hAnsi="仿宋_GB2312" w:cs="仿宋_GB2312" w:eastAsia="仿宋_GB2312"/>
                <w:sz w:val="21"/>
              </w:rPr>
              <w:t>2.4.5出科复审(指标10)</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医保办在患者结算前，可对患者本次就诊所有费用明细再次审核，或复核医护人员对患者的出院审核结果。</w:t>
            </w:r>
          </w:p>
          <w:p>
            <w:pPr>
              <w:pStyle w:val="null3"/>
              <w:jc w:val="both"/>
            </w:pPr>
            <w:r>
              <w:rPr>
                <w:rFonts w:ascii="仿宋_GB2312" w:hAnsi="仿宋_GB2312" w:cs="仿宋_GB2312" w:eastAsia="仿宋_GB2312"/>
                <w:sz w:val="21"/>
              </w:rPr>
              <w:t>2.4.6▲出院病人(指标11)</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出院时间、就诊标识、患者姓名等过滤查看已出院病人列表，已出院病人列表直观展示病人相关基本信息、出入院时间、住院天数等。可查看病人详情，包含病人基本信息、疑点信息及疑点处理情况、诊断信息、医嘱信息、费用信息等。投标人应提供</w:t>
            </w:r>
            <w:r>
              <w:rPr>
                <w:rFonts w:ascii="仿宋_GB2312" w:hAnsi="仿宋_GB2312" w:cs="仿宋_GB2312" w:eastAsia="仿宋_GB2312"/>
                <w:sz w:val="21"/>
              </w:rPr>
              <w:t>“患者身份认证”同类型技术能力佐证材料（不限于软件知识产权或技术测试报告或专业机构出具的认证报告等。如投标人提供“技术测试报告”或“专业机构出具的认证报告”）。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2.5数据统计分析</w:t>
            </w:r>
          </w:p>
          <w:p>
            <w:pPr>
              <w:pStyle w:val="null3"/>
              <w:jc w:val="both"/>
            </w:pPr>
            <w:r>
              <w:rPr>
                <w:rFonts w:ascii="仿宋_GB2312" w:hAnsi="仿宋_GB2312" w:cs="仿宋_GB2312" w:eastAsia="仿宋_GB2312"/>
                <w:sz w:val="21"/>
              </w:rPr>
              <w:t>2.5.1事前-全院疑点统计(指标12)</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通过时间、院区、就诊类型、科室、医生查看疑点统计。从医保类型、项目触发排名</w:t>
            </w:r>
            <w:r>
              <w:rPr>
                <w:rFonts w:ascii="仿宋_GB2312" w:hAnsi="仿宋_GB2312" w:cs="仿宋_GB2312" w:eastAsia="仿宋_GB2312"/>
                <w:sz w:val="21"/>
              </w:rPr>
              <w:t>Top10，科室触发排名、医生触发排名、规则触发排名、项目触发排名等维度查看全院疑点情况。并要求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2.5.2事前-科室疑点统计(指标13)</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就诊类型、科室查看科室统计信息。统计总结算人数、异常结算人数、总疑点数、总疑点金额。疑点触发数量、金额的通过走势图直观展示，展示费别触发占比情况，从医师、规则、项目多维度展示疑点触发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2.5.3事前-医师疑点统计(指标14)</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就诊类型、科室、医师查看科室统计信息。统计总结算人数、异常结算人数、总疑点数、总疑点金额。疑点触发数量、金额的通过走势图直观展示，展示费别触发占比情况，从医师、规则、项目多维度展示疑点触发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2.5.4事前-医师操作统计(指标15)</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通过预警时间、就诊类型、科室、医生查看医生的操作统计信息，医生操作包括未处理疑点、填写反馈疑点、返回修改疑点、转自费疑点等维度，</w:t>
            </w:r>
            <w:r>
              <w:rPr>
                <w:rFonts w:ascii="仿宋_GB2312" w:hAnsi="仿宋_GB2312" w:cs="仿宋_GB2312" w:eastAsia="仿宋_GB2312"/>
                <w:sz w:val="21"/>
              </w:rPr>
              <w:t>具有</w:t>
            </w:r>
            <w:r>
              <w:rPr>
                <w:rFonts w:ascii="仿宋_GB2312" w:hAnsi="仿宋_GB2312" w:cs="仿宋_GB2312" w:eastAsia="仿宋_GB2312"/>
                <w:sz w:val="21"/>
              </w:rPr>
              <w:t>按照数量、金额进行动态排名。</w:t>
            </w:r>
          </w:p>
          <w:p>
            <w:pPr>
              <w:pStyle w:val="null3"/>
              <w:jc w:val="both"/>
            </w:pPr>
            <w:r>
              <w:rPr>
                <w:rFonts w:ascii="仿宋_GB2312" w:hAnsi="仿宋_GB2312" w:cs="仿宋_GB2312" w:eastAsia="仿宋_GB2312"/>
                <w:sz w:val="21"/>
              </w:rPr>
              <w:t>2.5.5事中-全院疑点统计(指标16)</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通过时间、院区、就诊类型、科室、医生查看疑点统计。从医保类型、项目触发排名</w:t>
            </w:r>
            <w:r>
              <w:rPr>
                <w:rFonts w:ascii="仿宋_GB2312" w:hAnsi="仿宋_GB2312" w:cs="仿宋_GB2312" w:eastAsia="仿宋_GB2312"/>
                <w:sz w:val="21"/>
              </w:rPr>
              <w:t>Top10，科室触发排名、医生触发排名、规则触发排名、项目触发排名等维度查看全院疑点情况。并要求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2.5.6事中-科室疑点统计(指标17)</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就诊类型、科室查看科室统计信息。统计总结算人数、异常结算人数、总疑点数、总疑点金额。疑点触发数量、金额的通过走势图直观展示，展示费别触发占比情况，从医师、规则、项目多维度展示疑点触发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2.5.7事中-医生疑点统计(指标18)</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时间、就诊类型、科室、医生查看科室统计信息。统计总结算人数、异常结算人数、总疑点数、总疑点金额。疑点触发数量、金额的通过走势图直观展示，展示费别触发占比情况，从医师、规则、项目多维度展示疑点触发情况。并要求</w:t>
            </w:r>
            <w:r>
              <w:rPr>
                <w:rFonts w:ascii="仿宋_GB2312" w:hAnsi="仿宋_GB2312" w:cs="仿宋_GB2312" w:eastAsia="仿宋_GB2312"/>
                <w:sz w:val="21"/>
              </w:rPr>
              <w:t>具有</w:t>
            </w:r>
            <w:r>
              <w:rPr>
                <w:rFonts w:ascii="仿宋_GB2312" w:hAnsi="仿宋_GB2312" w:cs="仿宋_GB2312" w:eastAsia="仿宋_GB2312"/>
                <w:sz w:val="21"/>
              </w:rPr>
              <w:t>查看具体触发疑点清单，并</w:t>
            </w:r>
            <w:r>
              <w:rPr>
                <w:rFonts w:ascii="仿宋_GB2312" w:hAnsi="仿宋_GB2312" w:cs="仿宋_GB2312" w:eastAsia="仿宋_GB2312"/>
                <w:sz w:val="21"/>
              </w:rPr>
              <w:t>具有</w:t>
            </w:r>
            <w:r>
              <w:rPr>
                <w:rFonts w:ascii="仿宋_GB2312" w:hAnsi="仿宋_GB2312" w:cs="仿宋_GB2312" w:eastAsia="仿宋_GB2312"/>
                <w:sz w:val="21"/>
              </w:rPr>
              <w:t>疑点清单下载功能。</w:t>
            </w:r>
          </w:p>
          <w:p>
            <w:pPr>
              <w:pStyle w:val="null3"/>
              <w:jc w:val="both"/>
            </w:pPr>
            <w:r>
              <w:rPr>
                <w:rFonts w:ascii="仿宋_GB2312" w:hAnsi="仿宋_GB2312" w:cs="仿宋_GB2312" w:eastAsia="仿宋_GB2312"/>
                <w:sz w:val="21"/>
              </w:rPr>
              <w:t>2.5.8事中-医生操作统计(指标19)</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通过预警时间、就诊类型、科室、医生查看医生的操作统计信息，医生操作包括未处理疑点、填写反馈疑点、返回修改疑点、转自费疑点等维度，</w:t>
            </w:r>
            <w:r>
              <w:rPr>
                <w:rFonts w:ascii="仿宋_GB2312" w:hAnsi="仿宋_GB2312" w:cs="仿宋_GB2312" w:eastAsia="仿宋_GB2312"/>
                <w:sz w:val="21"/>
              </w:rPr>
              <w:t>具有</w:t>
            </w:r>
            <w:r>
              <w:rPr>
                <w:rFonts w:ascii="仿宋_GB2312" w:hAnsi="仿宋_GB2312" w:cs="仿宋_GB2312" w:eastAsia="仿宋_GB2312"/>
                <w:sz w:val="21"/>
              </w:rPr>
              <w:t>按照数量、金额进行动态排名。</w:t>
            </w:r>
          </w:p>
          <w:p>
            <w:pPr>
              <w:pStyle w:val="null3"/>
              <w:jc w:val="both"/>
            </w:pPr>
            <w:r>
              <w:rPr>
                <w:rFonts w:ascii="仿宋_GB2312" w:hAnsi="仿宋_GB2312" w:cs="仿宋_GB2312" w:eastAsia="仿宋_GB2312"/>
                <w:sz w:val="21"/>
              </w:rPr>
              <w:t>2.5.9自定义报表(指标20)</w:t>
            </w:r>
          </w:p>
          <w:p>
            <w:pPr>
              <w:pStyle w:val="null3"/>
              <w:jc w:val="both"/>
            </w:pPr>
            <w:r>
              <w:rPr>
                <w:rFonts w:ascii="仿宋_GB2312" w:hAnsi="仿宋_GB2312" w:cs="仿宋_GB2312" w:eastAsia="仿宋_GB2312"/>
                <w:sz w:val="21"/>
              </w:rPr>
              <w:t>具有采购人</w:t>
            </w:r>
            <w:r>
              <w:rPr>
                <w:rFonts w:ascii="仿宋_GB2312" w:hAnsi="仿宋_GB2312" w:cs="仿宋_GB2312" w:eastAsia="仿宋_GB2312"/>
                <w:sz w:val="21"/>
              </w:rPr>
              <w:t>直接自定义报表，</w:t>
            </w:r>
            <w:r>
              <w:rPr>
                <w:rFonts w:ascii="仿宋_GB2312" w:hAnsi="仿宋_GB2312" w:cs="仿宋_GB2312" w:eastAsia="仿宋_GB2312"/>
                <w:sz w:val="21"/>
              </w:rPr>
              <w:t>具有</w:t>
            </w:r>
            <w:r>
              <w:rPr>
                <w:rFonts w:ascii="仿宋_GB2312" w:hAnsi="仿宋_GB2312" w:cs="仿宋_GB2312" w:eastAsia="仿宋_GB2312"/>
                <w:sz w:val="21"/>
              </w:rPr>
              <w:t>自定义报表查询条件及查询结果列表字段，自定义报表结果</w:t>
            </w:r>
            <w:r>
              <w:rPr>
                <w:rFonts w:ascii="仿宋_GB2312" w:hAnsi="仿宋_GB2312" w:cs="仿宋_GB2312" w:eastAsia="仿宋_GB2312"/>
                <w:sz w:val="21"/>
              </w:rPr>
              <w:t>具有</w:t>
            </w:r>
            <w:r>
              <w:rPr>
                <w:rFonts w:ascii="仿宋_GB2312" w:hAnsi="仿宋_GB2312" w:cs="仿宋_GB2312" w:eastAsia="仿宋_GB2312"/>
                <w:sz w:val="21"/>
              </w:rPr>
              <w:t>下载和导出功能。自定义生成的报表需按照菜单形式直观管理查看。</w:t>
            </w:r>
          </w:p>
          <w:p>
            <w:pPr>
              <w:pStyle w:val="null3"/>
              <w:jc w:val="both"/>
            </w:pPr>
            <w:r>
              <w:rPr>
                <w:rFonts w:ascii="仿宋_GB2312" w:hAnsi="仿宋_GB2312" w:cs="仿宋_GB2312" w:eastAsia="仿宋_GB2312"/>
                <w:sz w:val="21"/>
              </w:rPr>
              <w:t>2.6基础数据管理</w:t>
            </w:r>
          </w:p>
          <w:p>
            <w:pPr>
              <w:pStyle w:val="null3"/>
              <w:jc w:val="both"/>
            </w:pPr>
            <w:r>
              <w:rPr>
                <w:rFonts w:ascii="仿宋_GB2312" w:hAnsi="仿宋_GB2312" w:cs="仿宋_GB2312" w:eastAsia="仿宋_GB2312"/>
                <w:sz w:val="21"/>
              </w:rPr>
              <w:t>2.6.1药品知识库管理(指标21)</w:t>
            </w:r>
          </w:p>
          <w:p>
            <w:pPr>
              <w:pStyle w:val="null3"/>
              <w:jc w:val="both"/>
            </w:pPr>
            <w:r>
              <w:rPr>
                <w:rFonts w:ascii="仿宋_GB2312" w:hAnsi="仿宋_GB2312" w:cs="仿宋_GB2312" w:eastAsia="仿宋_GB2312"/>
                <w:sz w:val="21"/>
              </w:rPr>
              <w:t>包含限年龄用药、限特定条件支付、超适应症用药、药品疾病禁忌、慢病药品知识依据等。提供药品类知识维护，可通过统筹区、项目编号、项目名称、启用状态查询药品知识内容。</w:t>
            </w:r>
          </w:p>
          <w:p>
            <w:pPr>
              <w:pStyle w:val="null3"/>
              <w:jc w:val="both"/>
            </w:pPr>
            <w:r>
              <w:rPr>
                <w:rFonts w:ascii="仿宋_GB2312" w:hAnsi="仿宋_GB2312" w:cs="仿宋_GB2312" w:eastAsia="仿宋_GB2312"/>
                <w:sz w:val="21"/>
              </w:rPr>
              <w:t>2.6.2诊疗知识库管理(指标22)</w:t>
            </w:r>
          </w:p>
          <w:p>
            <w:pPr>
              <w:pStyle w:val="null3"/>
              <w:jc w:val="both"/>
            </w:pPr>
            <w:r>
              <w:rPr>
                <w:rFonts w:ascii="仿宋_GB2312" w:hAnsi="仿宋_GB2312" w:cs="仿宋_GB2312" w:eastAsia="仿宋_GB2312"/>
                <w:sz w:val="21"/>
              </w:rPr>
              <w:t>提供诊疗类知识维护，可通过统筹区、项目编号、项目名称、启用状态查询诊疗知识内容。包含诊疗项目超限用范围、无</w:t>
            </w:r>
            <w:r>
              <w:rPr>
                <w:rFonts w:ascii="仿宋_GB2312" w:hAnsi="仿宋_GB2312" w:cs="仿宋_GB2312" w:eastAsia="仿宋_GB2312"/>
                <w:sz w:val="21"/>
              </w:rPr>
              <w:t>33手术收取33编码加收项、项目重复收费、无主项收取对应加收项、诊疗项目之间使用依赖、诊疗项目未见对应耗材使用等知识。</w:t>
            </w:r>
          </w:p>
          <w:p>
            <w:pPr>
              <w:pStyle w:val="null3"/>
              <w:jc w:val="both"/>
            </w:pPr>
            <w:r>
              <w:rPr>
                <w:rFonts w:ascii="仿宋_GB2312" w:hAnsi="仿宋_GB2312" w:cs="仿宋_GB2312" w:eastAsia="仿宋_GB2312"/>
                <w:sz w:val="21"/>
              </w:rPr>
              <w:t>2.6.3耗材知识库管理(指标23)</w:t>
            </w:r>
          </w:p>
          <w:p>
            <w:pPr>
              <w:pStyle w:val="null3"/>
              <w:jc w:val="both"/>
            </w:pPr>
            <w:r>
              <w:rPr>
                <w:rFonts w:ascii="仿宋_GB2312" w:hAnsi="仿宋_GB2312" w:cs="仿宋_GB2312" w:eastAsia="仿宋_GB2312"/>
                <w:sz w:val="21"/>
              </w:rPr>
              <w:t>提供耗材类知识维护，可通过统筹区、项目编号、项目名称、启用状态查询耗材知识内容。包含耗材串换收费、耗材属性对应错误、耗材违反诊疗项目内涵重复收费等知识。</w:t>
            </w:r>
          </w:p>
          <w:p>
            <w:pPr>
              <w:pStyle w:val="null3"/>
              <w:jc w:val="both"/>
            </w:pPr>
            <w:r>
              <w:rPr>
                <w:rFonts w:ascii="仿宋_GB2312" w:hAnsi="仿宋_GB2312" w:cs="仿宋_GB2312" w:eastAsia="仿宋_GB2312"/>
                <w:sz w:val="21"/>
              </w:rPr>
              <w:t>2.6.4知识库</w:t>
            </w:r>
            <w:r>
              <w:rPr>
                <w:rFonts w:ascii="仿宋_GB2312" w:hAnsi="仿宋_GB2312" w:cs="仿宋_GB2312" w:eastAsia="仿宋_GB2312"/>
                <w:sz w:val="21"/>
              </w:rPr>
              <w:t>配置和</w:t>
            </w:r>
            <w:r>
              <w:rPr>
                <w:rFonts w:ascii="仿宋_GB2312" w:hAnsi="仿宋_GB2312" w:cs="仿宋_GB2312" w:eastAsia="仿宋_GB2312"/>
                <w:sz w:val="21"/>
              </w:rPr>
              <w:t>查询</w:t>
            </w:r>
            <w:r>
              <w:rPr>
                <w:rFonts w:ascii="仿宋_GB2312" w:hAnsi="仿宋_GB2312" w:cs="仿宋_GB2312" w:eastAsia="仿宋_GB2312"/>
                <w:sz w:val="21"/>
              </w:rPr>
              <w:t>(指标24)</w:t>
            </w:r>
          </w:p>
          <w:p>
            <w:pPr>
              <w:pStyle w:val="null3"/>
              <w:jc w:val="both"/>
            </w:pPr>
            <w:r>
              <w:rPr>
                <w:rFonts w:ascii="仿宋_GB2312" w:hAnsi="仿宋_GB2312" w:cs="仿宋_GB2312" w:eastAsia="仿宋_GB2312"/>
                <w:sz w:val="21"/>
              </w:rPr>
              <w:t>可通过项目编号、项目名称、项目类别</w:t>
            </w:r>
            <w:r>
              <w:rPr>
                <w:rFonts w:ascii="仿宋_GB2312" w:hAnsi="仿宋_GB2312" w:cs="仿宋_GB2312" w:eastAsia="仿宋_GB2312"/>
                <w:sz w:val="21"/>
              </w:rPr>
              <w:t>(药品、诊疗及耗材)查询知识库内容。</w:t>
            </w:r>
            <w:r>
              <w:rPr>
                <w:rFonts w:ascii="仿宋_GB2312" w:hAnsi="仿宋_GB2312" w:cs="仿宋_GB2312" w:eastAsia="仿宋_GB2312"/>
                <w:sz w:val="21"/>
              </w:rPr>
              <w:t>相关知识库由供应商提供，且须符合国家、陕西省、西安市全量知识库及采购人自定知识库。</w:t>
            </w:r>
          </w:p>
          <w:p>
            <w:pPr>
              <w:pStyle w:val="null3"/>
              <w:jc w:val="both"/>
            </w:pPr>
            <w:r>
              <w:rPr>
                <w:rFonts w:ascii="仿宋_GB2312" w:hAnsi="仿宋_GB2312" w:cs="仿宋_GB2312" w:eastAsia="仿宋_GB2312"/>
                <w:sz w:val="21"/>
              </w:rPr>
              <w:t>2.6.5规则配置(指标25)</w:t>
            </w:r>
          </w:p>
          <w:p>
            <w:pPr>
              <w:pStyle w:val="null3"/>
              <w:jc w:val="both"/>
            </w:pPr>
            <w:r>
              <w:rPr>
                <w:rFonts w:ascii="仿宋_GB2312" w:hAnsi="仿宋_GB2312" w:cs="仿宋_GB2312" w:eastAsia="仿宋_GB2312"/>
                <w:sz w:val="21"/>
              </w:rPr>
              <w:t>系统</w:t>
            </w:r>
            <w:r>
              <w:rPr>
                <w:rFonts w:ascii="仿宋_GB2312" w:hAnsi="仿宋_GB2312" w:cs="仿宋_GB2312" w:eastAsia="仿宋_GB2312"/>
                <w:sz w:val="21"/>
              </w:rPr>
              <w:t>具有</w:t>
            </w:r>
            <w:r>
              <w:rPr>
                <w:rFonts w:ascii="仿宋_GB2312" w:hAnsi="仿宋_GB2312" w:cs="仿宋_GB2312" w:eastAsia="仿宋_GB2312"/>
                <w:sz w:val="21"/>
              </w:rPr>
              <w:t>配置审核规则、分等级审核、规则应用范围配置。</w:t>
            </w:r>
            <w:r>
              <w:rPr>
                <w:rFonts w:ascii="仿宋_GB2312" w:hAnsi="仿宋_GB2312" w:cs="仿宋_GB2312" w:eastAsia="仿宋_GB2312"/>
                <w:sz w:val="21"/>
              </w:rPr>
              <w:t>相关规则库由供应商提供，且须符合国家、陕西省、西安市全量规则及采购人自定规则库。</w:t>
            </w:r>
          </w:p>
          <w:p>
            <w:pPr>
              <w:pStyle w:val="null3"/>
              <w:jc w:val="both"/>
            </w:pPr>
            <w:r>
              <w:rPr>
                <w:rFonts w:ascii="仿宋_GB2312" w:hAnsi="仿宋_GB2312" w:cs="仿宋_GB2312" w:eastAsia="仿宋_GB2312"/>
                <w:sz w:val="21"/>
              </w:rPr>
              <w:t>2.6.6规则管理(指标26)</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查看启用、禁用的规则信息，设置违规等级，规则</w:t>
            </w:r>
            <w:r>
              <w:rPr>
                <w:rFonts w:ascii="仿宋_GB2312" w:hAnsi="仿宋_GB2312" w:cs="仿宋_GB2312" w:eastAsia="仿宋_GB2312"/>
                <w:sz w:val="21"/>
              </w:rPr>
              <w:t>具有</w:t>
            </w:r>
            <w:r>
              <w:rPr>
                <w:rFonts w:ascii="仿宋_GB2312" w:hAnsi="仿宋_GB2312" w:cs="仿宋_GB2312" w:eastAsia="仿宋_GB2312"/>
                <w:sz w:val="21"/>
              </w:rPr>
              <w:t>配置规则触发场景、规则处理选项（提交反馈、同意自费、删除）。投标人应提供</w:t>
            </w:r>
            <w:r>
              <w:rPr>
                <w:rFonts w:ascii="仿宋_GB2312" w:hAnsi="仿宋_GB2312" w:cs="仿宋_GB2312" w:eastAsia="仿宋_GB2312"/>
                <w:sz w:val="21"/>
              </w:rPr>
              <w:t>“规则风控”同类型技术能力佐证材料（不限于软件知识产权或技术测试报告或专业机构出具的认证报告等。如投标人提供“技术测试报告”或“专业机构出具的认证报告”）。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2.6.7政策文件管理(指标27)</w:t>
            </w:r>
          </w:p>
          <w:p>
            <w:pPr>
              <w:pStyle w:val="null3"/>
              <w:jc w:val="both"/>
            </w:pPr>
            <w:r>
              <w:rPr>
                <w:rFonts w:ascii="仿宋_GB2312" w:hAnsi="仿宋_GB2312" w:cs="仿宋_GB2312" w:eastAsia="仿宋_GB2312"/>
                <w:sz w:val="21"/>
              </w:rPr>
              <w:t>政策文件材料上传、查询、下载、预览。投标人应提供</w:t>
            </w:r>
            <w:r>
              <w:rPr>
                <w:rFonts w:ascii="仿宋_GB2312" w:hAnsi="仿宋_GB2312" w:cs="仿宋_GB2312" w:eastAsia="仿宋_GB2312"/>
                <w:sz w:val="21"/>
              </w:rPr>
              <w:t>“政策解读”同类型技术能力佐证材料（不限于软件知识产权或技术测试报告或专业机构出具的认证报告等。如投标人提供“技术测试报告”或“专业机构出具的认证报告”）。</w:t>
            </w:r>
          </w:p>
          <w:p>
            <w:pPr>
              <w:pStyle w:val="null3"/>
              <w:jc w:val="both"/>
            </w:pPr>
            <w:r>
              <w:rPr>
                <w:rFonts w:ascii="仿宋_GB2312" w:hAnsi="仿宋_GB2312" w:cs="仿宋_GB2312" w:eastAsia="仿宋_GB2312"/>
                <w:sz w:val="21"/>
              </w:rPr>
              <w:t>2.7系统管理</w:t>
            </w:r>
          </w:p>
          <w:p>
            <w:pPr>
              <w:pStyle w:val="null3"/>
              <w:jc w:val="both"/>
            </w:pPr>
            <w:r>
              <w:rPr>
                <w:rFonts w:ascii="仿宋_GB2312" w:hAnsi="仿宋_GB2312" w:cs="仿宋_GB2312" w:eastAsia="仿宋_GB2312"/>
                <w:sz w:val="21"/>
              </w:rPr>
              <w:t>2.7.1科室字典(指标28)</w:t>
            </w:r>
          </w:p>
          <w:p>
            <w:pPr>
              <w:pStyle w:val="null3"/>
              <w:jc w:val="both"/>
            </w:pPr>
            <w:r>
              <w:rPr>
                <w:rFonts w:ascii="仿宋_GB2312" w:hAnsi="仿宋_GB2312" w:cs="仿宋_GB2312" w:eastAsia="仿宋_GB2312"/>
                <w:sz w:val="21"/>
              </w:rPr>
              <w:t>基于平台框架特性，</w:t>
            </w:r>
            <w:r>
              <w:rPr>
                <w:rFonts w:ascii="仿宋_GB2312" w:hAnsi="仿宋_GB2312" w:cs="仿宋_GB2312" w:eastAsia="仿宋_GB2312"/>
                <w:sz w:val="21"/>
              </w:rPr>
              <w:t>具有</w:t>
            </w:r>
            <w:r>
              <w:rPr>
                <w:rFonts w:ascii="仿宋_GB2312" w:hAnsi="仿宋_GB2312" w:cs="仿宋_GB2312" w:eastAsia="仿宋_GB2312"/>
                <w:sz w:val="21"/>
              </w:rPr>
              <w:t>科室的新增、批量导入、模板下载、事前事中的状态开启和关闭、科室信息的修改和删除、信息查询功能。</w:t>
            </w:r>
          </w:p>
          <w:p>
            <w:pPr>
              <w:pStyle w:val="null3"/>
              <w:jc w:val="both"/>
            </w:pPr>
            <w:r>
              <w:rPr>
                <w:rFonts w:ascii="仿宋_GB2312" w:hAnsi="仿宋_GB2312" w:cs="仿宋_GB2312" w:eastAsia="仿宋_GB2312"/>
                <w:sz w:val="21"/>
              </w:rPr>
              <w:t>2.7.2角色管理(指标29)</w:t>
            </w:r>
          </w:p>
          <w:p>
            <w:pPr>
              <w:pStyle w:val="null3"/>
              <w:jc w:val="both"/>
            </w:pPr>
            <w:r>
              <w:rPr>
                <w:rFonts w:ascii="仿宋_GB2312" w:hAnsi="仿宋_GB2312" w:cs="仿宋_GB2312" w:eastAsia="仿宋_GB2312"/>
                <w:sz w:val="21"/>
              </w:rPr>
              <w:t>提供角色及权限的新增、查看、修改、删除功能，并提供自定义勾选模块化功能权限。</w:t>
            </w:r>
          </w:p>
          <w:p>
            <w:pPr>
              <w:pStyle w:val="null3"/>
              <w:jc w:val="both"/>
            </w:pPr>
            <w:r>
              <w:rPr>
                <w:rFonts w:ascii="仿宋_GB2312" w:hAnsi="仿宋_GB2312" w:cs="仿宋_GB2312" w:eastAsia="仿宋_GB2312"/>
                <w:sz w:val="21"/>
              </w:rPr>
              <w:t>2.7.3菜单管理(指标30)</w:t>
            </w:r>
          </w:p>
          <w:p>
            <w:pPr>
              <w:pStyle w:val="null3"/>
              <w:jc w:val="both"/>
            </w:pPr>
            <w:r>
              <w:rPr>
                <w:rFonts w:ascii="仿宋_GB2312" w:hAnsi="仿宋_GB2312" w:cs="仿宋_GB2312" w:eastAsia="仿宋_GB2312"/>
                <w:sz w:val="21"/>
              </w:rPr>
              <w:t>该功能通过权限与角色相关联，实现不同角色之间的权限划分。同时拆分菜单角色，独立管理菜单。提供对菜单的新增、修改、删除、查看，</w:t>
            </w:r>
            <w:r>
              <w:rPr>
                <w:rFonts w:ascii="仿宋_GB2312" w:hAnsi="仿宋_GB2312" w:cs="仿宋_GB2312" w:eastAsia="仿宋_GB2312"/>
                <w:sz w:val="21"/>
              </w:rPr>
              <w:t>具有</w:t>
            </w:r>
            <w:r>
              <w:rPr>
                <w:rFonts w:ascii="仿宋_GB2312" w:hAnsi="仿宋_GB2312" w:cs="仿宋_GB2312" w:eastAsia="仿宋_GB2312"/>
                <w:sz w:val="21"/>
              </w:rPr>
              <w:t>三级菜单编辑。</w:t>
            </w:r>
          </w:p>
          <w:p>
            <w:pPr>
              <w:pStyle w:val="null3"/>
              <w:jc w:val="both"/>
            </w:pPr>
            <w:r>
              <w:rPr>
                <w:rFonts w:ascii="仿宋_GB2312" w:hAnsi="仿宋_GB2312" w:cs="仿宋_GB2312" w:eastAsia="仿宋_GB2312"/>
                <w:sz w:val="21"/>
              </w:rPr>
              <w:t>2.7.4用户管理(指标31)</w:t>
            </w:r>
          </w:p>
          <w:p>
            <w:pPr>
              <w:pStyle w:val="null3"/>
              <w:jc w:val="both"/>
            </w:pPr>
            <w:r>
              <w:rPr>
                <w:rFonts w:ascii="仿宋_GB2312" w:hAnsi="仿宋_GB2312" w:cs="仿宋_GB2312" w:eastAsia="仿宋_GB2312"/>
                <w:sz w:val="21"/>
              </w:rPr>
              <w:t>该功能通</w:t>
            </w:r>
            <w:r>
              <w:rPr>
                <w:rFonts w:ascii="仿宋_GB2312" w:hAnsi="仿宋_GB2312" w:cs="仿宋_GB2312" w:eastAsia="仿宋_GB2312"/>
                <w:sz w:val="21"/>
              </w:rPr>
              <w:t>过为用户赋予适当角色，以此达到用户权限之间的划分。提供用户角色账号的新增、多字段查询、修改用户信息、管理用户组、批量导入用户及批量模板下载。</w:t>
            </w:r>
          </w:p>
          <w:p>
            <w:pPr>
              <w:pStyle w:val="null3"/>
              <w:jc w:val="both"/>
            </w:pPr>
            <w:r>
              <w:rPr>
                <w:rFonts w:ascii="仿宋_GB2312" w:hAnsi="仿宋_GB2312" w:cs="仿宋_GB2312" w:eastAsia="仿宋_GB2312"/>
                <w:sz w:val="21"/>
              </w:rPr>
              <w:t>2.7.5参数管理</w:t>
            </w:r>
            <w:r>
              <w:rPr>
                <w:rFonts w:ascii="仿宋_GB2312" w:hAnsi="仿宋_GB2312" w:cs="仿宋_GB2312" w:eastAsia="仿宋_GB2312"/>
                <w:sz w:val="21"/>
              </w:rPr>
              <w:t>(指标32)</w:t>
            </w:r>
          </w:p>
          <w:p>
            <w:pPr>
              <w:pStyle w:val="null3"/>
              <w:jc w:val="both"/>
            </w:pPr>
            <w:r>
              <w:rPr>
                <w:rFonts w:ascii="仿宋_GB2312" w:hAnsi="仿宋_GB2312" w:cs="仿宋_GB2312" w:eastAsia="仿宋_GB2312"/>
                <w:sz w:val="21"/>
              </w:rPr>
              <w:t>系统提供参数配置功能，以适配院内业务流程需求。包括参数内容的新增、查询参数编码、参数值、修改参数和参数分类展示。</w:t>
            </w:r>
          </w:p>
          <w:p>
            <w:pPr>
              <w:pStyle w:val="null3"/>
              <w:jc w:val="both"/>
            </w:pPr>
            <w:r>
              <w:rPr>
                <w:rFonts w:ascii="仿宋_GB2312" w:hAnsi="仿宋_GB2312" w:cs="仿宋_GB2312" w:eastAsia="仿宋_GB2312"/>
                <w:sz w:val="21"/>
              </w:rPr>
              <w:t>2.7.6字典管理(指标33)</w:t>
            </w:r>
          </w:p>
          <w:p>
            <w:pPr>
              <w:pStyle w:val="null3"/>
              <w:jc w:val="both"/>
            </w:pPr>
            <w:r>
              <w:rPr>
                <w:rFonts w:ascii="仿宋_GB2312" w:hAnsi="仿宋_GB2312" w:cs="仿宋_GB2312" w:eastAsia="仿宋_GB2312"/>
                <w:sz w:val="21"/>
              </w:rPr>
              <w:t>用于系统字典表配置管理，以适配院内的相关业务，字典配置需实时生效。包括新增字典、查询字典名称及类型、查看字典详情、修改字典、删除字典。</w:t>
            </w:r>
          </w:p>
          <w:p>
            <w:pPr>
              <w:pStyle w:val="null3"/>
              <w:jc w:val="both"/>
            </w:pPr>
            <w:r>
              <w:rPr>
                <w:rFonts w:ascii="仿宋_GB2312" w:hAnsi="仿宋_GB2312" w:cs="仿宋_GB2312" w:eastAsia="仿宋_GB2312"/>
                <w:sz w:val="21"/>
              </w:rPr>
              <w:t>2.7.7定时任务管理(指标34)</w:t>
            </w:r>
          </w:p>
          <w:p>
            <w:pPr>
              <w:pStyle w:val="null3"/>
              <w:jc w:val="both"/>
            </w:pPr>
            <w:r>
              <w:rPr>
                <w:rFonts w:ascii="仿宋_GB2312" w:hAnsi="仿宋_GB2312" w:cs="仿宋_GB2312" w:eastAsia="仿宋_GB2312"/>
                <w:sz w:val="21"/>
              </w:rPr>
              <w:t>用于业务系统中需要的定时任务的管理，</w:t>
            </w:r>
            <w:r>
              <w:rPr>
                <w:rFonts w:ascii="仿宋_GB2312" w:hAnsi="仿宋_GB2312" w:cs="仿宋_GB2312" w:eastAsia="仿宋_GB2312"/>
                <w:sz w:val="21"/>
              </w:rPr>
              <w:t>具有</w:t>
            </w:r>
            <w:r>
              <w:rPr>
                <w:rFonts w:ascii="仿宋_GB2312" w:hAnsi="仿宋_GB2312" w:cs="仿宋_GB2312" w:eastAsia="仿宋_GB2312"/>
                <w:sz w:val="21"/>
              </w:rPr>
              <w:t>动态修改执行时间，管理定时任务开关，配置管理定时任务入参，单次执行定时任务，查看定时任务执行日志。</w:t>
            </w:r>
          </w:p>
          <w:p>
            <w:pPr>
              <w:pStyle w:val="null3"/>
              <w:jc w:val="both"/>
            </w:pPr>
            <w:r>
              <w:rPr>
                <w:rFonts w:ascii="仿宋_GB2312" w:hAnsi="仿宋_GB2312" w:cs="仿宋_GB2312" w:eastAsia="仿宋_GB2312"/>
                <w:sz w:val="21"/>
              </w:rPr>
              <w:t>2.7.8▲系统对接和升级要求(指标35)</w:t>
            </w:r>
          </w:p>
          <w:p>
            <w:pPr>
              <w:pStyle w:val="null3"/>
              <w:jc w:val="both"/>
            </w:pPr>
            <w:r>
              <w:rPr>
                <w:rFonts w:ascii="仿宋_GB2312" w:hAnsi="仿宋_GB2312" w:cs="仿宋_GB2312" w:eastAsia="仿宋_GB2312"/>
                <w:sz w:val="21"/>
              </w:rPr>
              <w:t>能够实现系统和本院</w:t>
            </w:r>
            <w:r>
              <w:rPr>
                <w:rFonts w:ascii="仿宋_GB2312" w:hAnsi="仿宋_GB2312" w:cs="仿宋_GB2312" w:eastAsia="仿宋_GB2312"/>
                <w:sz w:val="21"/>
              </w:rPr>
              <w:t>HIS</w:t>
            </w:r>
            <w:r>
              <w:rPr>
                <w:rFonts w:ascii="仿宋_GB2312" w:hAnsi="仿宋_GB2312" w:cs="仿宋_GB2312" w:eastAsia="仿宋_GB2312"/>
                <w:sz w:val="21"/>
              </w:rPr>
              <w:t>、</w:t>
            </w:r>
            <w:r>
              <w:rPr>
                <w:rFonts w:ascii="仿宋_GB2312" w:hAnsi="仿宋_GB2312" w:cs="仿宋_GB2312" w:eastAsia="仿宋_GB2312"/>
                <w:sz w:val="21"/>
              </w:rPr>
              <w:t>LIS、PACS、</w:t>
            </w:r>
            <w:r>
              <w:rPr>
                <w:rFonts w:ascii="仿宋_GB2312" w:hAnsi="仿宋_GB2312" w:cs="仿宋_GB2312" w:eastAsia="仿宋_GB2312"/>
                <w:sz w:val="21"/>
              </w:rPr>
              <w:t>电子病历</w:t>
            </w:r>
            <w:r>
              <w:rPr>
                <w:rFonts w:ascii="仿宋_GB2312" w:hAnsi="仿宋_GB2312" w:cs="仿宋_GB2312" w:eastAsia="仿宋_GB2312"/>
                <w:sz w:val="21"/>
              </w:rPr>
              <w:t>等</w:t>
            </w:r>
            <w:r>
              <w:rPr>
                <w:rFonts w:ascii="仿宋_GB2312" w:hAnsi="仿宋_GB2312" w:cs="仿宋_GB2312" w:eastAsia="仿宋_GB2312"/>
                <w:sz w:val="21"/>
              </w:rPr>
              <w:t>系统对接，达到所需的相关业务数据的采集、接口调用等功能</w:t>
            </w:r>
            <w:r>
              <w:rPr>
                <w:rFonts w:ascii="仿宋_GB2312" w:hAnsi="仿宋_GB2312" w:cs="仿宋_GB2312" w:eastAsia="仿宋_GB2312"/>
                <w:sz w:val="21"/>
              </w:rPr>
              <w:t>。全部接口费已全部包含在本次报价中。</w:t>
            </w:r>
          </w:p>
          <w:p>
            <w:pPr>
              <w:pStyle w:val="null3"/>
              <w:jc w:val="both"/>
            </w:pPr>
            <w:r>
              <w:rPr>
                <w:rFonts w:ascii="仿宋_GB2312" w:hAnsi="仿宋_GB2312" w:cs="仿宋_GB2312" w:eastAsia="仿宋_GB2312"/>
                <w:sz w:val="21"/>
              </w:rPr>
              <w:t>2.7.9转自费功能</w:t>
            </w:r>
            <w:r>
              <w:rPr>
                <w:rFonts w:ascii="仿宋_GB2312" w:hAnsi="仿宋_GB2312" w:cs="仿宋_GB2312" w:eastAsia="仿宋_GB2312"/>
                <w:sz w:val="21"/>
              </w:rPr>
              <w:t>(指标3</w:t>
            </w:r>
            <w:r>
              <w:rPr>
                <w:rFonts w:ascii="仿宋_GB2312" w:hAnsi="仿宋_GB2312" w:cs="仿宋_GB2312" w:eastAsia="仿宋_GB2312"/>
                <w:sz w:val="21"/>
              </w:rPr>
              <w:t>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系统能够实现部分收费项目由医生进行转自费，并经系统审核的功能。</w:t>
            </w:r>
          </w:p>
          <w:p>
            <w:pPr>
              <w:pStyle w:val="null3"/>
              <w:jc w:val="both"/>
            </w:pPr>
            <w:r>
              <w:rPr>
                <w:rFonts w:ascii="仿宋_GB2312" w:hAnsi="仿宋_GB2312" w:cs="仿宋_GB2312" w:eastAsia="仿宋_GB2312"/>
                <w:sz w:val="21"/>
              </w:rPr>
              <w:t>2.质量要求：符合国家行业标准，完成使用科室需求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.安装环境与场地要求：</w:t>
            </w:r>
            <w:r>
              <w:rPr>
                <w:rFonts w:ascii="仿宋_GB2312" w:hAnsi="仿宋_GB2312" w:cs="仿宋_GB2312" w:eastAsia="仿宋_GB2312"/>
                <w:sz w:val="21"/>
              </w:rPr>
              <w:t>采购人</w:t>
            </w:r>
            <w:r>
              <w:rPr>
                <w:rFonts w:ascii="仿宋_GB2312" w:hAnsi="仿宋_GB2312" w:cs="仿宋_GB2312" w:eastAsia="仿宋_GB2312"/>
                <w:sz w:val="21"/>
              </w:rPr>
              <w:t>指定环境与场地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.验收标准：服务内容完成后先由</w:t>
            </w:r>
            <w:r>
              <w:rPr>
                <w:rFonts w:ascii="仿宋_GB2312" w:hAnsi="仿宋_GB2312" w:cs="仿宋_GB2312" w:eastAsia="仿宋_GB2312"/>
                <w:sz w:val="21"/>
              </w:rPr>
              <w:t>供应商</w:t>
            </w:r>
            <w:r>
              <w:rPr>
                <w:rFonts w:ascii="仿宋_GB2312" w:hAnsi="仿宋_GB2312" w:cs="仿宋_GB2312" w:eastAsia="仿宋_GB2312"/>
                <w:sz w:val="21"/>
              </w:rPr>
              <w:t>进行自检，自检合格后邀请</w:t>
            </w:r>
            <w:r>
              <w:rPr>
                <w:rFonts w:ascii="仿宋_GB2312" w:hAnsi="仿宋_GB2312" w:cs="仿宋_GB2312" w:eastAsia="仿宋_GB2312"/>
                <w:sz w:val="21"/>
              </w:rPr>
              <w:t>采购人</w:t>
            </w:r>
            <w:r>
              <w:rPr>
                <w:rFonts w:ascii="仿宋_GB2312" w:hAnsi="仿宋_GB2312" w:cs="仿宋_GB2312" w:eastAsia="仿宋_GB2312"/>
                <w:sz w:val="21"/>
              </w:rPr>
              <w:t>进行验收。经</w:t>
            </w:r>
            <w:r>
              <w:rPr>
                <w:rFonts w:ascii="仿宋_GB2312" w:hAnsi="仿宋_GB2312" w:cs="仿宋_GB2312" w:eastAsia="仿宋_GB2312"/>
                <w:sz w:val="21"/>
              </w:rPr>
              <w:t>采购人</w:t>
            </w:r>
            <w:r>
              <w:rPr>
                <w:rFonts w:ascii="仿宋_GB2312" w:hAnsi="仿宋_GB2312" w:cs="仿宋_GB2312" w:eastAsia="仿宋_GB2312"/>
                <w:sz w:val="21"/>
              </w:rPr>
              <w:t>确认后，组织</w:t>
            </w:r>
            <w:r>
              <w:rPr>
                <w:rFonts w:ascii="仿宋_GB2312" w:hAnsi="仿宋_GB2312" w:cs="仿宋_GB2312" w:eastAsia="仿宋_GB2312"/>
                <w:sz w:val="21"/>
              </w:rPr>
              <w:t>供应商</w:t>
            </w:r>
            <w:r>
              <w:rPr>
                <w:rFonts w:ascii="仿宋_GB2312" w:hAnsi="仿宋_GB2312" w:cs="仿宋_GB2312" w:eastAsia="仿宋_GB2312"/>
                <w:sz w:val="21"/>
              </w:rPr>
              <w:t>（必要时请有关专家）进行最终验收，验收时</w:t>
            </w:r>
            <w:r>
              <w:rPr>
                <w:rFonts w:ascii="仿宋_GB2312" w:hAnsi="仿宋_GB2312" w:cs="仿宋_GB2312" w:eastAsia="仿宋_GB2312"/>
                <w:sz w:val="21"/>
              </w:rPr>
              <w:t>供应商</w:t>
            </w:r>
            <w:r>
              <w:rPr>
                <w:rFonts w:ascii="仿宋_GB2312" w:hAnsi="仿宋_GB2312" w:cs="仿宋_GB2312" w:eastAsia="仿宋_GB2312"/>
                <w:sz w:val="21"/>
              </w:rPr>
              <w:t>应派项目相关人员参加，双方共同对验收结果进行确认，并承担相关责任。验收合格后，双方签署项目验收单，本项目验收单为结算依据之一。</w:t>
            </w:r>
          </w:p>
          <w:p>
            <w:pPr>
              <w:pStyle w:val="null3"/>
            </w:pPr>
            <w:r>
              <w:rPr>
                <w:rFonts w:ascii="仿宋_GB2312" w:hAnsi="仿宋_GB2312" w:cs="仿宋_GB2312" w:eastAsia="仿宋_GB2312"/>
                <w:sz w:val="21"/>
              </w:rPr>
              <w:t>5.售后服务及培训要求：按合同要求培训至交付</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服务期限：自签订合同之日起六个月。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磋商文件“服务内容及要求”所述的标准。若供应商在其投标文件中承诺的技术标准优于本项目磋商文件“服务内容及要求”所述标准的，按投标的承诺执行。2、成交供应商完成并交付的工作成果需经采购人验收合格，则视为接受。如果在验收时采购人表明不接受中标供应商提交的工作成果并明示不接受的原因，成交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验收合格后，采购人收到供应商提供的全额增值税发票、本合同及项目验收单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维保期限届满后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2、按合同要求提供服务或服务质量不能满足技术要求，采购人有权终止合同，并对供方违约行为进行追究，同时按《中华人民共和国民政府采购法》的有关规定进行处罚。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维保期限：维保期自双方签署验收合格单之日起计算，维保期1年。维保期内必须提供7*24小时技术热线电话服务，如发生故障必须2小时内到达现场；若无法解决的，相关技术专家应2小时内到达现场，尽快加以修复故障。维保期内投标人因维护软件所发生的一切费用，包括工时费、交通费、住宿费、通讯费均由中标方承担。维保期内如出现新增接口需求，供应商应无条件按采购人要求按时完成，不另外收费。 3.4.2根据西安市财政局《关于促进政府采购公平竞争优化营商环境的通知》（市财函[2021]431号）文中“第16条规定 投标人登记免费领取采购文件的，如不参与项目投标，应在递交投标（或响应）文件截止时间前一日以书面形式（格式如下，签字盖章后发回代理机构邮箱shanxijiatang@163.com即可）告知采购代理机构。否则，采购代理机构可以向财政部门反映情况并提供相应的佐证。供应商一年内累计出现三次该情形，将被监管部门记录失信行为”。 3.4.3中小企业划分标准：本项目采购标的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3.4.4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月至今任意一个月的纳税证明或完税证明（提供增值税、企业所得税至少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1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并提供被授权代表响应文件提交截止时间前三个月内任意一个月在本单位的社会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本项目不接受西安市第九医院职工及其亲属投资开办企业参与本单位的采购活动；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实质上响应磋商文件，磋商文件允许偏离的除外</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承诺书.docx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依据供应商所提供的技术指标偏离表,对照招标文件第三章“技术参数与性能指标”中的“指标参数”进行打分，完全满足得42分，“▲”项每负偏离一项扣2分，非“▲”项每负偏离一项扣1分。未提供视为负偏离。 “▲”需提供相关的证明材料，供应商需尽可能多的提供相关的技术、功能证明材料（包括但不限于、检测机构出具的检测报告、产品彩页等）予以佐证；并在技术指标偏离表中注明支持材料页码。</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评审内容：供应商提供总体设计方案。方案包括：①应用架构图；②应用架构设计描述③总体技术路线设计。 评审标准：1.每项评审内容全面详细、阐述条理清晰详尽、符合本项目采购需求，能保障本项目实施得计2分；2.每项评审内容全面，内容基本合理但存在瑕疵计1分；3.每项评审内容简单空泛，无针对性计0分。3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系统、数据安全设计方案</w:t>
            </w:r>
          </w:p>
        </w:tc>
        <w:tc>
          <w:tcPr>
            <w:tcW w:type="dxa" w:w="2492"/>
          </w:tcPr>
          <w:p>
            <w:pPr>
              <w:pStyle w:val="null3"/>
            </w:pPr>
            <w:r>
              <w:rPr>
                <w:rFonts w:ascii="仿宋_GB2312" w:hAnsi="仿宋_GB2312" w:cs="仿宋_GB2312" w:eastAsia="仿宋_GB2312"/>
              </w:rPr>
              <w:t>评审内容：供应商应提供项目系统安全设计方案。包括：①数据生命周期管理；②数据防泄漏；③安全体系设计；④数据库加密与访问控制。 评审标准：1.每项评审内容全面详细、阐述条理清晰详尽、符合本项目采购需求，能保障本项目实施得计1.5分；2.每项评审内容全面，内容基本合理但存在瑕疵计1分；3.每项评审内容简单空泛，无针对性计0分。4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管理措施方案</w:t>
            </w:r>
          </w:p>
        </w:tc>
        <w:tc>
          <w:tcPr>
            <w:tcW w:type="dxa" w:w="2492"/>
          </w:tcPr>
          <w:p>
            <w:pPr>
              <w:pStyle w:val="null3"/>
            </w:pPr>
            <w:r>
              <w:rPr>
                <w:rFonts w:ascii="仿宋_GB2312" w:hAnsi="仿宋_GB2312" w:cs="仿宋_GB2312" w:eastAsia="仿宋_GB2312"/>
              </w:rPr>
              <w:t>评审内容：供应商应提供项目管理措施方案。包括：①进度管理；②质量保证；③风险控制。 评审标准：1.每项评审内容全面详细、阐述条理清晰详尽、符合本项目采购需求，能保障本项目实施得计1分；2.每项评审内容全面，内容基本合理但存在瑕疵计0.5分；3.每项评审内容简单空泛，无针对性计0分。3项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评审内容：供应商应提供项目组织实施方案。包括：①实施机构；②实施计划；③实施进度。 评审标准：1.每项评审内容全面详细、阐述条理清晰详尽、符合本项目采购需求，能保障本项目实施得计1分；2.每项评审内容全面，内容基本合理但存在瑕疵计0.5分；3.每项评审内容简单空泛，无针对性计0分。3项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计算机软件著作权</w:t>
            </w:r>
          </w:p>
        </w:tc>
        <w:tc>
          <w:tcPr>
            <w:tcW w:type="dxa" w:w="2492"/>
          </w:tcPr>
          <w:p>
            <w:pPr>
              <w:pStyle w:val="null3"/>
            </w:pPr>
            <w:r>
              <w:rPr>
                <w:rFonts w:ascii="仿宋_GB2312" w:hAnsi="仿宋_GB2312" w:cs="仿宋_GB2312" w:eastAsia="仿宋_GB2312"/>
              </w:rPr>
              <w:t>供应商具有与本项目内容相关的“医保监管”、“在院监测”、“数据中心”、“运营监控”关键字的相关计算机软件著作权登记证书，满分3分，每缺一项扣1分，扣完为止；同一类别提供多个证书的不重复计分，供应商需提供有效的著作权证书扫描件并加盖供应商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兼容性互认认证证书</w:t>
            </w:r>
          </w:p>
        </w:tc>
        <w:tc>
          <w:tcPr>
            <w:tcW w:type="dxa" w:w="2492"/>
          </w:tcPr>
          <w:p>
            <w:pPr>
              <w:pStyle w:val="null3"/>
            </w:pPr>
            <w:r>
              <w:rPr>
                <w:rFonts w:ascii="仿宋_GB2312" w:hAnsi="仿宋_GB2312" w:cs="仿宋_GB2312" w:eastAsia="仿宋_GB2312"/>
              </w:rPr>
              <w:t>供应商所响应系统与主流国产化操作系统、中间件、数据库、服务器的其中之一，具有兼容性互认认证证书的得1分，其他不得分。供应商需提供有效的证书扫描件并加盖供应商公章，未按要求提供不得分。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为本项目配备项目经理，须具有相关的中级工程师得0.5分，高级工程师得1分，其他不得分。具备2个同类软件（医保智能审核类或医保智能监管类)项目服务及验收经验的，每个各加0.5分。注：供应商需提供下述证明材料并加盖供应商公章：①项目经理有效证书扫描件；②同类项目体现项目负责人姓名的验收证明材料；③提供劳动合同等相关证明材料；④该项人员与项目服务团队成员重复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服务团队成员</w:t>
            </w:r>
          </w:p>
        </w:tc>
        <w:tc>
          <w:tcPr>
            <w:tcW w:type="dxa" w:w="2492"/>
          </w:tcPr>
          <w:p>
            <w:pPr>
              <w:pStyle w:val="null3"/>
            </w:pPr>
            <w:r>
              <w:rPr>
                <w:rFonts w:ascii="仿宋_GB2312" w:hAnsi="仿宋_GB2312" w:cs="仿宋_GB2312" w:eastAsia="仿宋_GB2312"/>
              </w:rPr>
              <w:t>供应商为本项目提供的项目服务团队成员具备信息类人社部或工信部颁发的人员技能资质证书。每提供一个得2分，共6分；注：供应商需提供下述证明材料并加盖供应商公章：①个人有效证书扫描件；②提供劳动合同等相关证明材料；③一人多证只算一人；④该项人员与供应商为本项目配备的项目经理重复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评审内容：供应商提供项目验收方案。包括：①验收方法；②验收内容和标准；③验收结论。 评审标准：1.每项评审内容全面详细、阐述条理清晰详尽、符合本项目采购需求，能保障本项目实施得计1分；2.每项评审内容全面，内容基本合理但存在瑕疵计0.5分；3.每项评审内容简单空泛，无针对性计0分。3项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评审内容：供应商提供项目培训方案。包括：①培训计划；②培训方式、培训内容。 评审标准：1.每项评审内容全面详细、阐述条理清晰详尽、符合本项目采购需求，能保障本项目实施得计1分；2.每项评审内容全面，内容基本合理但存在瑕疵计0.5分；3.每项评审内容简单空泛，无针对性计0分。2项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服务期保障方案</w:t>
            </w:r>
          </w:p>
        </w:tc>
        <w:tc>
          <w:tcPr>
            <w:tcW w:type="dxa" w:w="2492"/>
          </w:tcPr>
          <w:p>
            <w:pPr>
              <w:pStyle w:val="null3"/>
            </w:pPr>
            <w:r>
              <w:rPr>
                <w:rFonts w:ascii="仿宋_GB2312" w:hAnsi="仿宋_GB2312" w:cs="仿宋_GB2312" w:eastAsia="仿宋_GB2312"/>
              </w:rPr>
              <w:t>评审内容：供应商提供项目服务期保障方案。包括：①服务年限；②服务方式；③服务内容。 评审标准：1.每项评审内容全面详细、阐述条理清晰详尽、符合本项目采购需求，能保障本项目实施得计1分；2.每项评审内容全面，内容基本合理但存在瑕疵计0.5分；3.每项评审内容简单空泛，无针对性计0分。3项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