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版本号：HCCG-2026-00720260129001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支队物业管理服务项目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HCCG-2026-007</w:t>
      </w:r>
      <w:r>
        <w:br/>
      </w:r>
      <w:r>
        <w:br/>
      </w:r>
      <w:r>
        <w:br/>
      </w:r>
    </w:p>
    <w:p>
      <w:pPr>
        <w:pStyle w:val="null3"/>
        <w:jc w:val="center"/>
        <w:outlineLvl w:val="2"/>
      </w:pPr>
      <w:r>
        <w:rPr>
          <w:rFonts w:ascii="仿宋_GB2312" w:hAnsi="仿宋_GB2312" w:cs="仿宋_GB2312" w:eastAsia="仿宋_GB2312"/>
          <w:sz w:val="28"/>
          <w:b/>
        </w:rPr>
        <w:t>西安市文化市场综合执法支队</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西安市文化市场综合执法支队</w:t>
      </w:r>
      <w:r>
        <w:rPr>
          <w:rFonts w:ascii="仿宋_GB2312" w:hAnsi="仿宋_GB2312" w:cs="仿宋_GB2312" w:eastAsia="仿宋_GB2312"/>
        </w:rPr>
        <w:t>委托，拟对</w:t>
      </w:r>
      <w:r>
        <w:rPr>
          <w:rFonts w:ascii="仿宋_GB2312" w:hAnsi="仿宋_GB2312" w:cs="仿宋_GB2312" w:eastAsia="仿宋_GB2312"/>
        </w:rPr>
        <w:t>支队物业管理服务项目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HCCG-2026-007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支队物业管理服务项目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支队物业管理服务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采购包1（支队物业管理服务项目）：属于专门面向中小企业采购。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1、主体身份：法人、其他组织或自然人，并出具合法有效的营业执照等证明文件，自然人参与的提供其身份证；</w:t>
      </w:r>
    </w:p>
    <w:p>
      <w:pPr>
        <w:pStyle w:val="null3"/>
      </w:pPr>
      <w:r>
        <w:rPr>
          <w:rFonts w:ascii="仿宋_GB2312" w:hAnsi="仿宋_GB2312" w:cs="仿宋_GB2312" w:eastAsia="仿宋_GB2312"/>
        </w:rPr>
        <w:t>2、财务状况报告：提供具有财务审计资质单位出具的2024年度的财务报告（成立时间至投标时间不足一年的可提供成立后任意时段的资产负债表）或投标前六个月内其基本账户银行出具的资信证明（附开户许可证）或政府采购信用担保机构出具的投标担保函；</w:t>
      </w:r>
    </w:p>
    <w:p>
      <w:pPr>
        <w:pStyle w:val="null3"/>
      </w:pPr>
      <w:r>
        <w:rPr>
          <w:rFonts w:ascii="仿宋_GB2312" w:hAnsi="仿宋_GB2312" w:cs="仿宋_GB2312" w:eastAsia="仿宋_GB2312"/>
        </w:rPr>
        <w:t>3、税收缴纳证明：提供自2025年1月1日至今已缴纳的至少一个月的纳税证明或完税证明，纳税证明或完税证明上应有代收机构或税务机关的公章或业务专用章，依法免税的服务商应提供相关文件证明；</w:t>
      </w:r>
    </w:p>
    <w:p>
      <w:pPr>
        <w:pStyle w:val="null3"/>
      </w:pPr>
      <w:r>
        <w:rPr>
          <w:rFonts w:ascii="仿宋_GB2312" w:hAnsi="仿宋_GB2312" w:cs="仿宋_GB2312" w:eastAsia="仿宋_GB2312"/>
        </w:rPr>
        <w:t>4、社会保障资金缴纳证明：提供供应商2025年1月1日至今已缴存的任意一个月的社会保障资金缴存单据或社保机构开具的社会保险参保缴费情况证明；依法不需要缴纳社会保障资金的应提供相关文件证明；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5、提供具有履行本合同所必需的设备和专业技术能力的声明：提供具有履行本合同所必需的设备和专业技术能力的声明；</w:t>
      </w:r>
    </w:p>
    <w:p>
      <w:pPr>
        <w:pStyle w:val="null3"/>
      </w:pPr>
      <w:r>
        <w:rPr>
          <w:rFonts w:ascii="仿宋_GB2312" w:hAnsi="仿宋_GB2312" w:cs="仿宋_GB2312" w:eastAsia="仿宋_GB2312"/>
        </w:rPr>
        <w:t>6、无没有重大违法记录的书面声明：提供参加本次政府采购活动前3年内，在经营活动中没有重大违法记录的书面声明；</w:t>
      </w:r>
    </w:p>
    <w:p>
      <w:pPr>
        <w:pStyle w:val="null3"/>
      </w:pPr>
      <w:r>
        <w:rPr>
          <w:rFonts w:ascii="仿宋_GB2312" w:hAnsi="仿宋_GB2312" w:cs="仿宋_GB2312" w:eastAsia="仿宋_GB2312"/>
        </w:rPr>
        <w:t>7、法定代表人授权书或法定代表人身份证明：法定代表人授权书或法定代表人身份证明：法定代表人授权书（附法定代表人、被授权人身份证复印件）；法定代表人直接参加投标，须提供法定代表人身份证明；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8、信用信息（供应商可不提供查询截图，以采购代理机构现场查询结果为准）：信用截图：供应商未被“信用中国” 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9、控股管理关系：本项目不接受联合体磋商，单位负责人为同一人或者存在直接控股、管理关系的不同供应商，不得参加同一合同项下的政府采购活动.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西安市文化市场综合执法支队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西安市碑林区振兴路100号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029-89359386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西安市南二环西段58号成长大厦8楼招标代理中心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赵根女、冯建正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029-89115858-8010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招标代理服务收费管理暂行办法》（计价格【2002】1908号文）、国家发展改革委办公厅《关于招标代理服务收费有关问题的通知》（发改办价格【2003】857号）的标准计取，具体金额将在结果公告中公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西安市文化市场综合执法支队</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西安市文化市场综合执法支队</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西安市文化市场综合执法支队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联系人：赵根女、冯建正</w:t>
      </w:r>
    </w:p>
    <w:p>
      <w:pPr>
        <w:pStyle w:val="null3"/>
      </w:pPr>
      <w:r>
        <w:rPr>
          <w:rFonts w:ascii="仿宋_GB2312" w:hAnsi="仿宋_GB2312" w:cs="仿宋_GB2312" w:eastAsia="仿宋_GB2312"/>
        </w:rPr>
        <w:t>联系电话：029-89115858-8010</w:t>
      </w:r>
    </w:p>
    <w:p>
      <w:pPr>
        <w:pStyle w:val="null3"/>
      </w:pPr>
      <w:r>
        <w:rPr>
          <w:rFonts w:ascii="仿宋_GB2312" w:hAnsi="仿宋_GB2312" w:cs="仿宋_GB2312" w:eastAsia="仿宋_GB2312"/>
        </w:rPr>
        <w:t>地址：西安市南二环西段58号成长大厦8楼招标代理中心</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支队物业管理服务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910,000.00</w:t>
      </w:r>
    </w:p>
    <w:p>
      <w:pPr>
        <w:pStyle w:val="null3"/>
      </w:pPr>
      <w:r>
        <w:rPr>
          <w:rFonts w:ascii="仿宋_GB2312" w:hAnsi="仿宋_GB2312" w:cs="仿宋_GB2312" w:eastAsia="仿宋_GB2312"/>
        </w:rPr>
        <w:t>采购包最高限价（元）: 794,000.00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支队物业管理服务项目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标的名称：支队物业管理服务项目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项目</w:t>
            </w:r>
            <w:r>
              <w:rPr>
                <w:rFonts w:ascii="仿宋_GB2312" w:hAnsi="仿宋_GB2312" w:cs="仿宋_GB2312" w:eastAsia="仿宋_GB2312"/>
                <w:sz w:val="24"/>
                <w:b/>
              </w:rPr>
              <w:t>概况</w:t>
            </w:r>
            <w:r>
              <w:rPr>
                <w:rFonts w:ascii="仿宋_GB2312" w:hAnsi="仿宋_GB2312" w:cs="仿宋_GB2312" w:eastAsia="仿宋_GB2312"/>
                <w:sz w:val="24"/>
                <w:b/>
              </w:rPr>
              <w:t>：</w:t>
            </w:r>
            <w:r>
              <w:rPr>
                <w:rFonts w:ascii="仿宋_GB2312" w:hAnsi="仿宋_GB2312" w:cs="仿宋_GB2312" w:eastAsia="仿宋_GB2312"/>
                <w:sz w:val="24"/>
                <w:b/>
              </w:rPr>
              <w:t>该院区服务</w:t>
            </w:r>
            <w:r>
              <w:rPr>
                <w:rFonts w:ascii="仿宋_GB2312" w:hAnsi="仿宋_GB2312" w:cs="仿宋_GB2312" w:eastAsia="仿宋_GB2312"/>
                <w:sz w:val="24"/>
                <w:b/>
              </w:rPr>
              <w:t>面积约</w:t>
            </w:r>
            <w:r>
              <w:rPr>
                <w:rFonts w:ascii="仿宋_GB2312" w:hAnsi="仿宋_GB2312" w:cs="仿宋_GB2312" w:eastAsia="仿宋_GB2312"/>
                <w:sz w:val="24"/>
                <w:b/>
              </w:rPr>
              <w:t>6000㎡，主要涵盖办公楼1-4层、前后院、会议室、活动室、餐厅、电梯机房等。</w:t>
            </w:r>
            <w:r>
              <w:rPr>
                <w:rFonts w:ascii="仿宋_GB2312" w:hAnsi="仿宋_GB2312" w:cs="仿宋_GB2312" w:eastAsia="仿宋_GB2312"/>
                <w:sz w:val="24"/>
                <w:b/>
              </w:rPr>
              <w:t>人员配备不低于以下要求：</w:t>
            </w:r>
          </w:p>
          <w:p>
            <w:pPr>
              <w:pStyle w:val="null3"/>
            </w:pPr>
            <w:r>
              <w:rPr>
                <w:rFonts w:ascii="仿宋_GB2312" w:hAnsi="仿宋_GB2312" w:cs="仿宋_GB2312" w:eastAsia="仿宋_GB2312"/>
                <w:sz w:val="24"/>
              </w:rPr>
              <w:t>保安人员：</w:t>
            </w:r>
            <w:r>
              <w:rPr>
                <w:rFonts w:ascii="仿宋_GB2312" w:hAnsi="仿宋_GB2312" w:cs="仿宋_GB2312" w:eastAsia="仿宋_GB2312"/>
                <w:sz w:val="24"/>
              </w:rPr>
              <w:t>3</w:t>
            </w:r>
            <w:r>
              <w:rPr>
                <w:rFonts w:ascii="仿宋_GB2312" w:hAnsi="仿宋_GB2312" w:cs="仿宋_GB2312" w:eastAsia="仿宋_GB2312"/>
                <w:sz w:val="24"/>
              </w:rPr>
              <w:t>人</w:t>
            </w:r>
            <w:r>
              <w:rPr>
                <w:rFonts w:ascii="仿宋_GB2312" w:hAnsi="仿宋_GB2312" w:cs="仿宋_GB2312" w:eastAsia="仿宋_GB2312"/>
                <w:sz w:val="24"/>
              </w:rPr>
              <w:t>；</w:t>
            </w:r>
            <w:r>
              <w:rPr>
                <w:rFonts w:ascii="仿宋_GB2312" w:hAnsi="仿宋_GB2312" w:cs="仿宋_GB2312" w:eastAsia="仿宋_GB2312"/>
                <w:sz w:val="24"/>
              </w:rPr>
              <w:t>保洁员：</w:t>
            </w:r>
            <w:r>
              <w:rPr>
                <w:rFonts w:ascii="仿宋_GB2312" w:hAnsi="仿宋_GB2312" w:cs="仿宋_GB2312" w:eastAsia="仿宋_GB2312"/>
                <w:sz w:val="24"/>
              </w:rPr>
              <w:t>2</w:t>
            </w:r>
            <w:r>
              <w:rPr>
                <w:rFonts w:ascii="仿宋_GB2312" w:hAnsi="仿宋_GB2312" w:cs="仿宋_GB2312" w:eastAsia="仿宋_GB2312"/>
                <w:sz w:val="24"/>
              </w:rPr>
              <w:t>人</w:t>
            </w:r>
            <w:r>
              <w:rPr>
                <w:rFonts w:ascii="仿宋_GB2312" w:hAnsi="仿宋_GB2312" w:cs="仿宋_GB2312" w:eastAsia="仿宋_GB2312"/>
                <w:sz w:val="24"/>
              </w:rPr>
              <w:t>；</w:t>
            </w:r>
            <w:r>
              <w:rPr>
                <w:rFonts w:ascii="仿宋_GB2312" w:hAnsi="仿宋_GB2312" w:cs="仿宋_GB2312" w:eastAsia="仿宋_GB2312"/>
                <w:sz w:val="24"/>
              </w:rPr>
              <w:t>水电工：</w:t>
            </w:r>
            <w:r>
              <w:rPr>
                <w:rFonts w:ascii="仿宋_GB2312" w:hAnsi="仿宋_GB2312" w:cs="仿宋_GB2312" w:eastAsia="仿宋_GB2312"/>
                <w:sz w:val="24"/>
              </w:rPr>
              <w:t>1人</w:t>
            </w:r>
          </w:p>
          <w:p>
            <w:pPr>
              <w:pStyle w:val="null3"/>
            </w:pPr>
            <w:r>
              <w:rPr>
                <w:rFonts w:ascii="仿宋_GB2312" w:hAnsi="仿宋_GB2312" w:cs="仿宋_GB2312" w:eastAsia="仿宋_GB2312"/>
                <w:sz w:val="24"/>
              </w:rPr>
              <w:t>项目经理：</w:t>
            </w:r>
            <w:r>
              <w:rPr>
                <w:rFonts w:ascii="仿宋_GB2312" w:hAnsi="仿宋_GB2312" w:cs="仿宋_GB2312" w:eastAsia="仿宋_GB2312"/>
                <w:sz w:val="24"/>
              </w:rPr>
              <w:t>1人</w:t>
            </w:r>
            <w:r>
              <w:rPr>
                <w:rFonts w:ascii="仿宋_GB2312" w:hAnsi="仿宋_GB2312" w:cs="仿宋_GB2312" w:eastAsia="仿宋_GB2312"/>
                <w:sz w:val="24"/>
              </w:rPr>
              <w:t>；</w:t>
            </w:r>
            <w:r>
              <w:rPr>
                <w:rFonts w:ascii="仿宋_GB2312" w:hAnsi="仿宋_GB2312" w:cs="仿宋_GB2312" w:eastAsia="仿宋_GB2312"/>
                <w:sz w:val="24"/>
              </w:rPr>
              <w:t>厨师</w:t>
            </w:r>
            <w:r>
              <w:rPr>
                <w:rFonts w:ascii="仿宋_GB2312" w:hAnsi="仿宋_GB2312" w:cs="仿宋_GB2312" w:eastAsia="仿宋_GB2312"/>
                <w:sz w:val="24"/>
              </w:rPr>
              <w:t>1人</w:t>
            </w:r>
            <w:r>
              <w:rPr>
                <w:rFonts w:ascii="仿宋_GB2312" w:hAnsi="仿宋_GB2312" w:cs="仿宋_GB2312" w:eastAsia="仿宋_GB2312"/>
                <w:sz w:val="24"/>
              </w:rPr>
              <w:t>；</w:t>
            </w:r>
            <w:r>
              <w:rPr>
                <w:rFonts w:ascii="仿宋_GB2312" w:hAnsi="仿宋_GB2312" w:cs="仿宋_GB2312" w:eastAsia="仿宋_GB2312"/>
                <w:sz w:val="24"/>
              </w:rPr>
              <w:t>帮厨</w:t>
            </w:r>
            <w:r>
              <w:rPr>
                <w:rFonts w:ascii="仿宋_GB2312" w:hAnsi="仿宋_GB2312" w:cs="仿宋_GB2312" w:eastAsia="仿宋_GB2312"/>
                <w:sz w:val="24"/>
              </w:rPr>
              <w:t>1人</w:t>
            </w:r>
            <w:r>
              <w:rPr>
                <w:rFonts w:ascii="仿宋_GB2312" w:hAnsi="仿宋_GB2312" w:cs="仿宋_GB2312" w:eastAsia="仿宋_GB2312"/>
                <w:sz w:val="24"/>
              </w:rPr>
              <w:t>。</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物业服务</w:t>
            </w:r>
            <w:r>
              <w:rPr>
                <w:rFonts w:ascii="仿宋_GB2312" w:hAnsi="仿宋_GB2312" w:cs="仿宋_GB2312" w:eastAsia="仿宋_GB2312"/>
                <w:sz w:val="24"/>
                <w:b/>
              </w:rPr>
              <w:t>内容</w:t>
            </w:r>
            <w:r>
              <w:rPr>
                <w:rFonts w:ascii="仿宋_GB2312" w:hAnsi="仿宋_GB2312" w:cs="仿宋_GB2312" w:eastAsia="仿宋_GB2312"/>
                <w:sz w:val="24"/>
                <w:b/>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院子停车场秩序维护及日常保洁清扫；</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门卫室日常机关单位安全保卫</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电梯机房整栋办公楼上下机关工作人员保障</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监控室整栋办公楼安全消防监控</w:t>
            </w:r>
          </w:p>
          <w:p>
            <w:pPr>
              <w:pStyle w:val="null3"/>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二次供排水房</w:t>
            </w:r>
          </w:p>
          <w:p>
            <w:pPr>
              <w:pStyle w:val="null3"/>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日常消防巡检及应急处置</w:t>
            </w:r>
          </w:p>
          <w:p>
            <w:pPr>
              <w:pStyle w:val="null3"/>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整栋办公楼日常保洁清扫及日常维修维护保养</w:t>
            </w:r>
            <w:r>
              <w:rPr>
                <w:rFonts w:ascii="仿宋_GB2312" w:hAnsi="仿宋_GB2312" w:cs="仿宋_GB2312" w:eastAsia="仿宋_GB2312"/>
                <w:sz w:val="24"/>
              </w:rPr>
              <w:t>。</w:t>
            </w:r>
          </w:p>
          <w:p>
            <w:pPr>
              <w:pStyle w:val="null3"/>
            </w:pPr>
            <w:r>
              <w:rPr>
                <w:rFonts w:ascii="仿宋_GB2312" w:hAnsi="仿宋_GB2312" w:cs="仿宋_GB2312" w:eastAsia="仿宋_GB2312"/>
                <w:sz w:val="24"/>
                <w:b/>
              </w:rPr>
              <w:t>三、物业服务要求：</w:t>
            </w:r>
          </w:p>
          <w:p>
            <w:pPr>
              <w:pStyle w:val="null3"/>
              <w:ind w:firstLine="480"/>
            </w:pPr>
            <w:r>
              <w:rPr>
                <w:rFonts w:ascii="仿宋_GB2312" w:hAnsi="仿宋_GB2312" w:cs="仿宋_GB2312" w:eastAsia="仿宋_GB2312"/>
                <w:sz w:val="24"/>
              </w:rPr>
              <w:t>按机关事务管理局核定的办公（业务）用房面积提供基础物业服务，主要涵盖办公楼</w:t>
            </w:r>
            <w:r>
              <w:rPr>
                <w:rFonts w:ascii="仿宋_GB2312" w:hAnsi="仿宋_GB2312" w:cs="仿宋_GB2312" w:eastAsia="仿宋_GB2312"/>
                <w:sz w:val="24"/>
              </w:rPr>
              <w:t>1-4层、前后院、会议室、活动室、餐厅、电梯机房等。物业需提供环境保洁服务、纸巾洗手液等日常耗材、代电梯维保服务、秩序安保服务、</w:t>
            </w:r>
            <w:r>
              <w:rPr>
                <w:rFonts w:ascii="仿宋_GB2312" w:hAnsi="仿宋_GB2312" w:cs="仿宋_GB2312" w:eastAsia="仿宋_GB2312"/>
                <w:sz w:val="24"/>
              </w:rPr>
              <w:t>办公楼内（不含餐厅厨房）单价</w:t>
            </w:r>
            <w:r>
              <w:rPr>
                <w:rFonts w:ascii="仿宋_GB2312" w:hAnsi="仿宋_GB2312" w:cs="仿宋_GB2312" w:eastAsia="仿宋_GB2312"/>
                <w:sz w:val="24"/>
              </w:rPr>
              <w:t>1000元以下的维修维护服务</w:t>
            </w:r>
            <w:r>
              <w:rPr>
                <w:rFonts w:ascii="仿宋_GB2312" w:hAnsi="仿宋_GB2312" w:cs="仿宋_GB2312" w:eastAsia="仿宋_GB2312"/>
                <w:sz w:val="24"/>
              </w:rPr>
              <w:t>、餐饮服务。</w:t>
            </w:r>
          </w:p>
          <w:p>
            <w:pPr>
              <w:pStyle w:val="null3"/>
            </w:pPr>
            <w:r>
              <w:rPr>
                <w:rFonts w:ascii="仿宋_GB2312" w:hAnsi="仿宋_GB2312" w:cs="仿宋_GB2312" w:eastAsia="仿宋_GB2312"/>
                <w:sz w:val="24"/>
                <w:b/>
              </w:rPr>
              <w:t xml:space="preserve"> 餐饮服务要求：</w:t>
            </w:r>
            <w:r>
              <w:rPr>
                <w:rFonts w:ascii="仿宋_GB2312" w:hAnsi="仿宋_GB2312" w:cs="仿宋_GB2312" w:eastAsia="仿宋_GB2312"/>
                <w:sz w:val="24"/>
              </w:rPr>
              <w:t>餐饮服务按照支队实有人员情况提供工作餐（含早餐午餐），包括食材购买、饭菜加工制作。供应标准为：早餐：两菜（夏季一凉一热、冬季两热）、稀饭、馒头、鸡蛋（酸奶、牛奶、豆腐脑每日选一种供应）等；午餐：周一三五为四菜（两荤两素）一汤，主食米饭馒头等；周二四为面食等，两菜（一荤一素）</w:t>
            </w:r>
            <w:r>
              <w:rPr>
                <w:rFonts w:ascii="仿宋_GB2312" w:hAnsi="仿宋_GB2312" w:cs="仿宋_GB2312" w:eastAsia="仿宋_GB2312"/>
                <w:sz w:val="24"/>
              </w:rPr>
              <w:t>。</w:t>
            </w:r>
          </w:p>
          <w:p>
            <w:pPr>
              <w:pStyle w:val="null3"/>
            </w:pPr>
            <w:r>
              <w:rPr>
                <w:rFonts w:ascii="仿宋_GB2312" w:hAnsi="仿宋_GB2312" w:cs="仿宋_GB2312" w:eastAsia="仿宋_GB2312"/>
                <w:sz w:val="24"/>
              </w:rPr>
              <w:t>注：</w:t>
            </w:r>
            <w:r>
              <w:rPr>
                <w:rFonts w:ascii="仿宋_GB2312" w:hAnsi="仿宋_GB2312" w:cs="仿宋_GB2312" w:eastAsia="仿宋_GB2312"/>
                <w:sz w:val="24"/>
                <w:b/>
              </w:rPr>
              <w:t>职工食堂费用</w:t>
            </w:r>
            <w:r>
              <w:rPr>
                <w:rFonts w:ascii="仿宋_GB2312" w:hAnsi="仿宋_GB2312" w:cs="仿宋_GB2312" w:eastAsia="仿宋_GB2312"/>
                <w:sz w:val="24"/>
                <w:b/>
              </w:rPr>
              <w:t>按照</w:t>
            </w:r>
            <w:r>
              <w:rPr>
                <w:rFonts w:ascii="仿宋_GB2312" w:hAnsi="仿宋_GB2312" w:cs="仿宋_GB2312" w:eastAsia="仿宋_GB2312"/>
                <w:sz w:val="24"/>
                <w:b/>
              </w:rPr>
              <w:t>每人每天</w:t>
            </w:r>
            <w:r>
              <w:rPr>
                <w:rFonts w:ascii="仿宋_GB2312" w:hAnsi="仿宋_GB2312" w:cs="仿宋_GB2312" w:eastAsia="仿宋_GB2312"/>
                <w:sz w:val="24"/>
                <w:b/>
              </w:rPr>
              <w:t>16元根据就餐天数和人数据实结算。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供应商须按照本项目需求配备相应的服务团队服务于本项目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供应商须按照本项目需求配备相应的服务团队服务于本项目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2026年3月1日起至2026年12月31日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按照《西安市财政局关于进一步规范政府采购履约验收工作的通知》(市财函[2025]1562号)的要求进行验收。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第一个月服务期结束后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第二个月服务期结束后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第三个月服务期结束后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第四个月服务期结束后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第五个月服务期结束后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第六个月服务期结束后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第七个月服务期结束后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第八个月服务期结束后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第九个月服务期结束后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第十个月服务期结束后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按月结算，甲方于次月15日内据实向乙方结清上月结算的应付费用，乙方向甲方提供相应额度的正规发票，如遇公休或节假日，转账期顺延。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主体身份</w:t>
            </w:r>
          </w:p>
        </w:tc>
        <w:tc>
          <w:tcPr>
            <w:tcW w:type="dxa" w:w="3322"/>
          </w:tcPr>
          <w:p>
            <w:pPr>
              <w:pStyle w:val="null3"/>
            </w:pPr>
            <w:r>
              <w:rPr>
                <w:rFonts w:ascii="仿宋_GB2312" w:hAnsi="仿宋_GB2312" w:cs="仿宋_GB2312" w:eastAsia="仿宋_GB2312"/>
              </w:rPr>
              <w:t>法人、其他组织或自然人，并出具合法有效的营业执照等证明文件，自然人参与的提供其身份证；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的财务报告（成立时间至投标时间不足一年的可提供成立后任意时段的资产负债表）或投标前六个月内其基本账户银行出具的资信证明（附开户许可证）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提供自2025年1月1日至今已缴纳的至少一个月的纳税证明或完税证明，纳税证明或完税证明上应有代收机构或税务机关的公章或业务专用章，依法免税的服务商应提供相关文件证明；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提供供应商2025年1月1日至今已缴存的任意一个月的社会保障资金缴存单据或社保机构开具的社会保险参保缴费情况证明；依法不需要缴纳社会保障资金的应提供相关文件证明；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无没有重大违法记录的书面声明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法定代表人授权书或法定代表人身份证明：法定代表人授权书（附法定代表人、被授权人身份证复印件）；法定代表人直接参加投标，须提供法定代表人身份证明；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信用信息（供应商可不提供查询截图，以采购代理机构现场查询结果为准）</w:t>
            </w:r>
          </w:p>
        </w:tc>
        <w:tc>
          <w:tcPr>
            <w:tcW w:type="dxa" w:w="3322"/>
          </w:tcPr>
          <w:p>
            <w:pPr>
              <w:pStyle w:val="null3"/>
            </w:pPr>
            <w:r>
              <w:rPr>
                <w:rFonts w:ascii="仿宋_GB2312" w:hAnsi="仿宋_GB2312" w:cs="仿宋_GB2312" w:eastAsia="仿宋_GB2312"/>
              </w:rPr>
              <w:t>信用截图：供应商未被“信用中国” 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响应文件封面 分项报价表.docx 中小企业声明函 标的清单 服务内容及服务邀请应答表.docx 商务应答表.docx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业绩一览表.docx 分项报价表.docx 供应商应提交的相关资格证明材料.docx 中小企业声明函 标的清单 响应函 陕西省政府采购供应商拒绝政府采购领域商业贿赂承诺书.docx 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 （2）报价均未超出采购预算或最高限价</w:t>
            </w:r>
          </w:p>
        </w:tc>
        <w:tc>
          <w:tcPr>
            <w:tcW w:type="dxa" w:w="1661"/>
          </w:tcPr>
          <w:p>
            <w:pPr>
              <w:pStyle w:val="null3"/>
            </w:pPr>
            <w:r>
              <w:rPr>
                <w:rFonts w:ascii="仿宋_GB2312" w:hAnsi="仿宋_GB2312" w:cs="仿宋_GB2312" w:eastAsia="仿宋_GB2312"/>
              </w:rPr>
              <w:t>响应文件封面 分项报价表.docx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满足商务条款要求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磋商响应文件的签署、盖章合法、有效</w:t>
            </w:r>
          </w:p>
        </w:tc>
        <w:tc>
          <w:tcPr>
            <w:tcW w:type="dxa" w:w="1661"/>
          </w:tcPr>
          <w:p>
            <w:pPr>
              <w:pStyle w:val="null3"/>
            </w:pPr>
            <w:r>
              <w:rPr>
                <w:rFonts w:ascii="仿宋_GB2312" w:hAnsi="仿宋_GB2312" w:cs="仿宋_GB2312" w:eastAsia="仿宋_GB2312"/>
              </w:rPr>
              <w:t>响应文件封面 分项报价表.docx 供应商应提交的相关资格证明材料.docx 中小企业声明函 标的清单 服务内容及服务邀请应答表.docx 商务应答表.docx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其他未达到磋商文件要求的情况</w:t>
            </w:r>
          </w:p>
        </w:tc>
        <w:tc>
          <w:tcPr>
            <w:tcW w:type="dxa" w:w="1661"/>
          </w:tcPr>
          <w:p>
            <w:pPr>
              <w:pStyle w:val="null3"/>
            </w:pPr>
            <w:r>
              <w:rPr>
                <w:rFonts w:ascii="仿宋_GB2312" w:hAnsi="仿宋_GB2312" w:cs="仿宋_GB2312" w:eastAsia="仿宋_GB2312"/>
              </w:rPr>
              <w:t>响应文件封面 业绩一览表.docx 分项报价表.docx 供应商应提交的相关资格证明材料.docx 中小企业声明函 标的清单 响应函 服务方案.docx 陕西省政府采购供应商拒绝政府采购领域商业贿赂承诺书.docx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物业服务管理方案</w:t>
            </w:r>
          </w:p>
        </w:tc>
        <w:tc>
          <w:tcPr>
            <w:tcW w:type="dxa" w:w="2492"/>
          </w:tcPr>
          <w:p>
            <w:pPr>
              <w:pStyle w:val="null3"/>
            </w:pPr>
            <w:r>
              <w:rPr>
                <w:rFonts w:ascii="仿宋_GB2312" w:hAnsi="仿宋_GB2312" w:cs="仿宋_GB2312" w:eastAsia="仿宋_GB2312"/>
              </w:rPr>
              <w:t>根据供应商针对本项目提供的物业服务管理方案，方案内容包括但不限于①公司管理制度、②针对本项目拟定的各岗位管理制度、③人员培训、④工作流程及标准、⑤人员聘用标准等。 以上五项内容全面详细、逻辑条理清晰、操作细节明确且符合本项目采购需求，能有效保障本项目实施的得15分，每有一项方案缺失扣3分，每一项方案内容存在缺陷，按以下说明扣分。 说明：缺陷是指①内容不合理、虽有内容但内容稀疏、不完善、存在不适用项目实际情况的情形且内容表述前后不一致，扣1.5分；②涉及的规范及标准错误、地点区域错误、存在与本项目无关的内容、语义描述不清、存在影响项目履约质量的情况等任意一种情形，扣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保洁、安保服务方案</w:t>
            </w:r>
          </w:p>
        </w:tc>
        <w:tc>
          <w:tcPr>
            <w:tcW w:type="dxa" w:w="2492"/>
          </w:tcPr>
          <w:p>
            <w:pPr>
              <w:pStyle w:val="null3"/>
            </w:pPr>
            <w:r>
              <w:rPr>
                <w:rFonts w:ascii="仿宋_GB2312" w:hAnsi="仿宋_GB2312" w:cs="仿宋_GB2312" w:eastAsia="仿宋_GB2312"/>
              </w:rPr>
              <w:t>提供针对本项目的保洁、安保服务方案，满足磋商文件要求，包括但不限于①服务范围内的清洁、保洁、消毒、垃圾外运服务的工作内容，安防、秩序维护、消防服务、停车场管理、门卫室的工作内容、②岗位设置、人员安排及职责分工、③考核标准及方案等。 以上三项内容全面详细、逻辑条理清晰、操作细节明确且符合本项目采购需求，能有效保障本项目实施的得9分，每有一项方案缺失扣3分，每一项方案内容存在缺陷，按以下说明扣分。 说明：缺陷是指①内容不合理、虽有内容但内容稀疏、不完善、存在不适用项目实际情况的情形且内容表述前后不一致，扣1.5分；②涉及的规范及标准错误、地点区域错误、存在与本项目无关的内容、语义描述不清、存在影响项目履约质量的情况等任意一种情形，扣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餐饮服务方案</w:t>
            </w:r>
          </w:p>
        </w:tc>
        <w:tc>
          <w:tcPr>
            <w:tcW w:type="dxa" w:w="2492"/>
          </w:tcPr>
          <w:p>
            <w:pPr>
              <w:pStyle w:val="null3"/>
            </w:pPr>
            <w:r>
              <w:rPr>
                <w:rFonts w:ascii="仿宋_GB2312" w:hAnsi="仿宋_GB2312" w:cs="仿宋_GB2312" w:eastAsia="仿宋_GB2312"/>
              </w:rPr>
              <w:t>提供针对本项目的餐饮服务方案，满足磋商文件要求，包括但不限于①食品、人员、环境卫生控制措施；②食材的来源、保存、卫生、安全保证措施；③食材质量、食品安全事故应急预案。 以上三项内容全面详细、逻辑条理清晰、操作细节明确且符合本项目采购需求，能有效保障本项目实施的得9分，每有一项方案缺失扣3分，每一项方案内容存在缺陷，按以下说明扣分。 说明：缺陷是指①内容不合理、虽有内容但内容稀疏、不完善、存在不适用项目实际情况的情形且内容表述前后不一致，扣1.5分；②涉及的规范及标准错误、地点区域错误、存在与本项目无关的内容、语义描述不清、存在影响项目履约质量的情况等任意一种情形，扣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日常维修维护保养服务方案</w:t>
            </w:r>
          </w:p>
        </w:tc>
        <w:tc>
          <w:tcPr>
            <w:tcW w:type="dxa" w:w="2492"/>
          </w:tcPr>
          <w:p>
            <w:pPr>
              <w:pStyle w:val="null3"/>
            </w:pPr>
            <w:r>
              <w:rPr>
                <w:rFonts w:ascii="仿宋_GB2312" w:hAnsi="仿宋_GB2312" w:cs="仿宋_GB2312" w:eastAsia="仿宋_GB2312"/>
              </w:rPr>
              <w:t>提供针对本项目的日常维修维护保养服务方案，满足磋商文件要求，包括但不限于①服务范围内整栋办公楼日常维修的工作内②岗位设置、人员安排及职责分工、③考核标准及方案等。 以上三项内容全面详细、逻辑条理清晰、操作细节明确且符合本项目采购需求，能有效保障本项目实施的得9分，每有一项方案缺失扣3分，每一项方案内容存在缺陷，按以下说明扣分。 说明：缺陷是指①内容不合理、虽有内容但内容稀疏、不完善、存在不适用项目实际情况的情形且内容表述前后不一致，扣1.5分；②涉及的规范及标准错误、地点区域错误、存在与本项目无关的内容、语义描述不清、存在影响项目履约质量的情况等任意一种情形，扣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日常消防巡检及应急方案</w:t>
            </w:r>
          </w:p>
        </w:tc>
        <w:tc>
          <w:tcPr>
            <w:tcW w:type="dxa" w:w="2492"/>
          </w:tcPr>
          <w:p>
            <w:pPr>
              <w:pStyle w:val="null3"/>
            </w:pPr>
            <w:r>
              <w:rPr>
                <w:rFonts w:ascii="仿宋_GB2312" w:hAnsi="仿宋_GB2312" w:cs="仿宋_GB2312" w:eastAsia="仿宋_GB2312"/>
              </w:rPr>
              <w:t>根据本项目特点制定日常消防巡检及应急方案，包括但不限于：①节假日、②恶劣天气、③重大突发公共卫生危机事件、④电梯困人、⑤重大工作日的卫生检查、⑥停电、停水、⑦火灾、水浸、消防⑧大型活动等紧急事件预案措施。 以上八项内容全面详细、逻辑条理清晰、操作细节明确且符合本项目采购需求，能有效保障本项目实施的得8分，每有一项方案缺失扣1分，每一项方案内容存在缺陷，按以下说明扣分。 说明：缺陷是指①内容不合理、虽有内容但内容稀疏、不完善、存在不适用项目实际情况的情形且内容表述前后不一致，扣0.5分；②涉及的规范及标准错误、地点区域错误、存在与本项目无关的内容、语义描述不清、存在影响项目履约质量的情况等任意一种情形，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根据供应商针对本项目服务地点分别拟派团队的人员配置情况，管理人员工作经验提供证明材料①团队人员配备满足项目需求，配备合理、分工明确，符合项目实施的整体安排且管理人员提供资料齐全的计8分； ②团队人员配备基本满足项目需求，配备较为合理、明确，基本符合项目实施的整体安排且管理人员提供资料齐全的计5分； ③团队人员配备不满足项目需求，人员配备笼统，资料有欠缺的计3分。未提供不计分。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拟投入的设备工具</w:t>
            </w:r>
          </w:p>
        </w:tc>
        <w:tc>
          <w:tcPr>
            <w:tcW w:type="dxa" w:w="2492"/>
          </w:tcPr>
          <w:p>
            <w:pPr>
              <w:pStyle w:val="null3"/>
            </w:pPr>
            <w:r>
              <w:rPr>
                <w:rFonts w:ascii="仿宋_GB2312" w:hAnsi="仿宋_GB2312" w:cs="仿宋_GB2312" w:eastAsia="仿宋_GB2312"/>
              </w:rPr>
              <w:t>根据各供应商拟投入的设备工具、劳保用品、人员工作服装、清洁工具、通讯工具等的配备情况等方面进行打分。 ①所投入的设备工具种类齐全、数量充足，满足物业需要、能及时补充、更换的计8分； ②所投入的设备工具种类笼统简单，较为满足项目实施的整体安排的计5分。未提供不计分。 ③所投入的设备工具种类单一单，无法满足项目实施的整体安排的计3分。未提供不计分。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①对比各供应商服务承诺，承诺事项内容明确、具体可行、操作性强，计6分; ②承诺内容不完善、内容表述前后不一致计4分；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针对本项目制定档案管理方案，方案内容，包括但不限于：①档案资料的收集及分类②归档资料的使用、销毁及移交。 方案全面，切合本项目实际情况，实施步骤清晰、合理；得4分；方案较全面，较切合本项目实际情况，得2分；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供应商结合本项目的实际情况，提出有利于更好的为采购人服务的建议。 ①建议内容明确、具体可行、操作性强，计4分; ②建议内容不完整，计2分； 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至截标时间前类似项目业绩；每提供1份计2分，最高得10分。业绩证明（时间以合同签订时间为准，须在响应文件中附合同协议书扫描件并加盖单位公章，证明材料不符合要求或未提供的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 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