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版本号：SCZD2026-CS-0286-00120260202001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信息管理系统维保项目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SCZD2026-CS-0286-001</w:t>
      </w:r>
      <w:r>
        <w:br/>
      </w:r>
      <w:r>
        <w:br/>
      </w:r>
      <w:r>
        <w:br/>
      </w:r>
    </w:p>
    <w:p>
      <w:pPr>
        <w:pStyle w:val="null3"/>
        <w:jc w:val="center"/>
        <w:outlineLvl w:val="2"/>
      </w:pPr>
      <w:r>
        <w:rPr>
          <w:rFonts w:ascii="仿宋_GB2312" w:hAnsi="仿宋_GB2312" w:cs="仿宋_GB2312" w:eastAsia="仿宋_GB2312"/>
          <w:sz w:val="28"/>
          <w:b/>
        </w:rPr>
        <w:t>西安市胸科医院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西安市胸科医院</w:t>
      </w:r>
      <w:r>
        <w:rPr>
          <w:rFonts w:ascii="仿宋_GB2312" w:hAnsi="仿宋_GB2312" w:cs="仿宋_GB2312" w:eastAsia="仿宋_GB2312"/>
        </w:rPr>
        <w:t>委托，拟对</w:t>
      </w:r>
      <w:r>
        <w:rPr>
          <w:rFonts w:ascii="仿宋_GB2312" w:hAnsi="仿宋_GB2312" w:cs="仿宋_GB2312" w:eastAsia="仿宋_GB2312"/>
        </w:rPr>
        <w:t>信息管理系统维保项目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SCZD2026-CS-0286-001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信息管理系统维保项目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服务期内为医院信息系统提供维护支持服务，保障医院业务系统的稳定运行。服务内容包括客户端安装、配置、系统运行监控、补丁收集及维护、故障解决、系统优化、应急处理、服务器应用巡检、数据库性能的维护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在递交磋商响应文件截止时间前被“信用中国”网站（www.creditchina.gov.cn）和中国政府采购网（www.ccgp.gov.cn）上被列入失信被执行人、重大税收违法失信主体、政府采购严重违法失信行为记录名单的，不得参加磋商；进入西安市卫健委各级系统“黑名单”的，不得参加磋商：供应商在递交磋商响应文件截止时间前被“信用中国”网站（www.creditchina.gov.cn）和中国政府采购网（www.ccgp.gov.cn）上被列入失信被执行人、重大税收违法失信主体、政府采购严重违法失信行为记录名单的，不得参加磋商；进入西安市卫健委各级系统“黑名单”的，不得参加磋商</w:t>
      </w:r>
    </w:p>
    <w:p>
      <w:pPr>
        <w:pStyle w:val="null3"/>
      </w:pPr>
      <w:r>
        <w:rPr>
          <w:rFonts w:ascii="仿宋_GB2312" w:hAnsi="仿宋_GB2312" w:cs="仿宋_GB2312" w:eastAsia="仿宋_GB2312"/>
        </w:rPr>
        <w:t>2、法定代表人参加的，须提供本人身份证复印件加盖公章并出示身份证原件（法定代表人本人提供近三个月社保证明资料）；法定代表人授权他人参加的，须提供法定代表人委托授权书原件加盖公章，并出示被授权代表的身份证原件及复印件加盖公章（供应商授权代表本人提供近三个月社保证明资料）：法定代表人参加的，须提供本人身份证复印件加盖公章并出示身份证原件（法定代表人本人提供近三个月社保证明资料）；法定代表人授权他人参加的，须提供法定代表人委托授权书原件加盖公章，并出示被授权代表的身份证原件及复印件加盖公章（供应商授权代表本人提供近三个月社保证明资料）</w:t>
      </w:r>
    </w:p>
    <w:p>
      <w:pPr>
        <w:pStyle w:val="null3"/>
      </w:pPr>
      <w:r>
        <w:rPr>
          <w:rFonts w:ascii="仿宋_GB2312" w:hAnsi="仿宋_GB2312" w:cs="仿宋_GB2312" w:eastAsia="仿宋_GB2312"/>
        </w:rPr>
        <w:t>3、凡本院职工及其配偶、直系亲属投资开办或在相关企业担任高管、独立董事等有重大利益关系职务的相关供应商，不得参与磋商：凡本院职工及其配偶、直系亲属投资开办或在相关企业担任高管、独立董事等有重大利益关系职务的相关供应商，不得参与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西安市胸科医院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西安市长安区航天大道东段杜陵西路2000号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郑修齐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029-62500115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 号）规定标准下浮 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西安市胸科医院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西安市胸科医院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西安市胸科医院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联系人：马超、王亚宁</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服务期内为医院信息系统提供维护支持服务，保障医院业务系统的稳定运行。服务内容包括客户端安装、配置、系统运行监控、补丁收集及维护、故障解决、系统优化、应急处理、服务器应用巡检、数据库性能的维护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信息管理系统维保服务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标的名称：信息管理系统维保服务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一、项目背景</w:t>
            </w:r>
          </w:p>
          <w:p>
            <w:pPr>
              <w:pStyle w:val="null3"/>
              <w:ind w:firstLine="560"/>
              <w:jc w:val="both"/>
            </w:pPr>
            <w:r>
              <w:rPr>
                <w:rFonts w:ascii="仿宋_GB2312" w:hAnsi="仿宋_GB2312" w:cs="仿宋_GB2312" w:eastAsia="仿宋_GB2312"/>
                <w:sz w:val="24"/>
                <w:color w:val="000000"/>
              </w:rPr>
              <w:t>医院现用的主要信息系统有医院信息管理系统（</w:t>
            </w:r>
            <w:r>
              <w:rPr>
                <w:rFonts w:ascii="仿宋_GB2312" w:hAnsi="仿宋_GB2312" w:cs="仿宋_GB2312" w:eastAsia="仿宋_GB2312"/>
                <w:sz w:val="24"/>
                <w:color w:val="000000"/>
              </w:rPr>
              <w:t>HIS）、临床信息系统（CIS）、检验管理系统（LIS）、集成平台、电子病历系统（EMR）等已到期。系统在日常使用过程中不可避免会出现系统bug、数据错误、报表优化等情况，如果不能及时处理将影响医院业务正常运行，在保障系统业务稳定运行的前提下，计划新增接口服务包以应对新增政策类接口（接口预存：以应对新增政策类接口，据实结算）。</w:t>
            </w:r>
          </w:p>
          <w:p>
            <w:pPr>
              <w:pStyle w:val="null3"/>
              <w:jc w:val="both"/>
            </w:pPr>
            <w:r>
              <w:rPr>
                <w:rFonts w:ascii="仿宋_GB2312" w:hAnsi="仿宋_GB2312" w:cs="仿宋_GB2312" w:eastAsia="仿宋_GB2312"/>
                <w:sz w:val="24"/>
                <w:b/>
                <w:color w:val="000000"/>
              </w:rPr>
              <w:t>二、服务范围及方式</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服务清单：</w:t>
            </w:r>
          </w:p>
          <w:tbl>
            <w:tblPr>
              <w:tblInd w:type="dxa" w:w="120"/>
              <w:tblBorders>
                <w:top w:val="none" w:color="000000" w:sz="4"/>
                <w:left w:val="none" w:color="000000" w:sz="4"/>
                <w:bottom w:val="none" w:color="000000" w:sz="4"/>
                <w:right w:val="none" w:color="000000" w:sz="4"/>
                <w:insideH w:val="none"/>
                <w:insideV w:val="none"/>
              </w:tblBorders>
            </w:tblPr>
            <w:tblGrid>
              <w:gridCol w:w="964"/>
              <w:gridCol w:w="737"/>
              <w:gridCol w:w="850"/>
            </w:tblGrid>
            <w:tr>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系统分类</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系统名称</w:t>
                  </w:r>
                </w:p>
              </w:tc>
              <w:tc>
                <w:tcPr>
                  <w:tcW w:type="dxa" w:w="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系统功能模块</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经济管理</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门急诊挂号</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病人信息登记</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门急诊挂号</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门急诊收费</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门急诊划价、门急诊收费</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出入院管理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出入院管理</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医技收费管理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医技收费管理</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药品管理</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药品基本部分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药库管理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门诊药房管理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住院药房管理</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住院输液配置中心</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输液中心库存管理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住院输液发药</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输液批次管理</w:t>
                  </w: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门诊输液系统</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门诊输液室</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门诊输液管理</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门诊护士站</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排队叫号</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诊区分诊</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诊间分诊</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分诊台挂号</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门诊挂号预约</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预约管理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排班管理</w:t>
                  </w:r>
                  <w:r>
                    <w:rPr>
                      <w:rFonts w:ascii="仿宋_GB2312" w:hAnsi="仿宋_GB2312" w:cs="仿宋_GB2312" w:eastAsia="仿宋_GB2312"/>
                      <w:sz w:val="24"/>
                      <w:color w:val="000000"/>
                    </w:rPr>
                    <w:t>/患者信用管理/号源管理/统计分析</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预约服务</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窗口预约</w:t>
                  </w:r>
                  <w:r>
                    <w:rPr>
                      <w:rFonts w:ascii="仿宋_GB2312" w:hAnsi="仿宋_GB2312" w:cs="仿宋_GB2312" w:eastAsia="仿宋_GB2312"/>
                      <w:sz w:val="24"/>
                      <w:color w:val="000000"/>
                    </w:rPr>
                    <w:t>/护士站预约/门诊医生预约/住院医生预约</w:t>
                  </w: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门诊预付费就医</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门诊预付费就医</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卡账户管理</w:t>
                  </w:r>
                  <w:r>
                    <w:rPr>
                      <w:rFonts w:ascii="仿宋_GB2312" w:hAnsi="仿宋_GB2312" w:cs="仿宋_GB2312" w:eastAsia="仿宋_GB2312"/>
                      <w:sz w:val="24"/>
                      <w:color w:val="000000"/>
                    </w:rPr>
                    <w:t>/交易处理/财务管理</w:t>
                  </w: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住院手术管理</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住院手术管理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住院手术安排</w:t>
                  </w:r>
                  <w:r>
                    <w:rPr>
                      <w:rFonts w:ascii="仿宋_GB2312" w:hAnsi="仿宋_GB2312" w:cs="仿宋_GB2312" w:eastAsia="仿宋_GB2312"/>
                      <w:sz w:val="24"/>
                      <w:color w:val="000000"/>
                    </w:rPr>
                    <w:t>/住院手术计费/住院手术室汇总领药/手术情况录入</w:t>
                  </w: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院长综合查询</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院长综合查询</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WEB方式院长查询</w:t>
                  </w: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系统管理</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系统配置</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系统配置工具</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医疗统计报表软件</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医疗统计报表</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财务类通用报表</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门诊类通用报表</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住院类通用报表</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护理类通用报表</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药剂类通用报表</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手麻类通用报表</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医疗统计总览</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门诊统计信息总览</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住院统计信息总览</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财务统计信息总览</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护理统计信息总览</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药剂统计信息总览</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自助服务系统</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自助打印</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检验报告打印</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检查报告打印</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门诊临床信息系统</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门诊处方管理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门诊患者基本信息管理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门诊处方处置规则</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门诊处方和处置</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门诊协定方管理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门诊特病处方管理</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门诊申请单管理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门诊检验电子申请单</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门诊检查电子申请单</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门诊检验报告调阅</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门诊检查报告查阅</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门诊单据管理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住院证开具</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门诊病假单管理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住院证管理及院前床位预约</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门诊诊间挂号</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门诊诊间挂号</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门诊电子病历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门诊病历录入</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门诊病历书写助手</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门诊病历模板管理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门诊病历查询与统计</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门诊病历质控</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门诊医生危急值应用</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危急值预警提醒</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消息处理结果</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消息处理意见反馈</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消息时限监控</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住院临床信息系统</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电子医嘱</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住院患者基本信息管理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病人医嘱管理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医嘱规则管理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住院医生术中医嘱录入</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住院电子病历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住院病历录入</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住院病历书写助手</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住院病案首页录入</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住院病历授权管理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住院病历模板管理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住院病历质控管理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特殊病种病历模板订阅</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住院病历数据查询</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住院电子申请单</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住院检验电子申请单</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住院检查电子申请单</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住院检验报告调阅</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住院检查报告调阅</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住院医生危急值应用</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危急值预警提醒</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消息处理结果</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消息处理意见反馈</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消息时限监控</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住院院内会诊管理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住院院内会诊管理</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危急值流转系统</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危急值交互服务</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危急值预警传输服务</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危急值反馈处理服务</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危急值信息查询服务</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抗菌药物管理系统</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抗菌药物管理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抗菌药物规则设置</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抗菌药物联合用药控制</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抗菌药物三级管理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围手术期预防性抗菌药物管理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抗菌药物国家规范文档调阅</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住院临床路径管理系统</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住院临床路径</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临床路径配置</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入出路径管理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临床路径执行与变异管理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临床路径评估管理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临床路径统计查询</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临床路径发布审批管理</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互联网</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互联网</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扫码付</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第三方支付宝、微信接口</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自助机</w:t>
                  </w:r>
                  <w:r>
                    <w:rPr>
                      <w:rFonts w:ascii="仿宋_GB2312" w:hAnsi="仿宋_GB2312" w:cs="仿宋_GB2312" w:eastAsia="仿宋_GB2312"/>
                      <w:sz w:val="24"/>
                      <w:color w:val="000000"/>
                    </w:rPr>
                    <w:t>/院内优化</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自助机</w:t>
                  </w:r>
                  <w:r>
                    <w:rPr>
                      <w:rFonts w:ascii="仿宋_GB2312" w:hAnsi="仿宋_GB2312" w:cs="仿宋_GB2312" w:eastAsia="仿宋_GB2312"/>
                      <w:sz w:val="24"/>
                      <w:color w:val="000000"/>
                    </w:rPr>
                    <w:t>/院内优化</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现金充值</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银行卡转账充值</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系统配置</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银行取钞结账</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预约取消</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预约取号</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门诊查询</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支付宝、微信扫码充值</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住院查询</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不良事件管理软件</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不良事件上报</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护理类不良事件</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医疗类不良事件</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药品类不良事件</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输血类不良事件</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器械类不良事件</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院感类不良事件</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门诊类不良事件</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鱼骨图分析及案例分享</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鱼骨图分析及经典案例分享</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移动上报管理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移动上报管理</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不良事件院外直报</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不良事件院外直报</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医院感染管理信息系统</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医院感染管理系统</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院感预警</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院感防控</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环境卫生监测</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职业防护</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感控目标基础监测</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手卫生依从性调查</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防控督导</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病原微生物及多重耐药菌监控</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手术目标监测</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ICU监测</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NICU监测</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血透监测</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手卫生用品领用信息</w:t>
                  </w: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手术管理系统</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手术管理系统</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手术室手术麻醉计费</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电子数据签名接口</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登录用户管理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登录用户管理</w:t>
                  </w:r>
                  <w:r>
                    <w:rPr>
                      <w:rFonts w:ascii="仿宋_GB2312" w:hAnsi="仿宋_GB2312" w:cs="仿宋_GB2312" w:eastAsia="仿宋_GB2312"/>
                      <w:sz w:val="24"/>
                      <w:color w:val="000000"/>
                    </w:rPr>
                    <w:t>/登录用户权限设置/证书自动登录</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数字签名接口</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身份认证接口</w:t>
                  </w:r>
                  <w:r>
                    <w:rPr>
                      <w:rFonts w:ascii="仿宋_GB2312" w:hAnsi="仿宋_GB2312" w:cs="仿宋_GB2312" w:eastAsia="仿宋_GB2312"/>
                      <w:sz w:val="24"/>
                      <w:color w:val="000000"/>
                    </w:rPr>
                    <w:t>/数字签名接口/时间戳接口/数字印章接口/签名补签</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医技报告签名</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检验报告数据签名</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检查报告数据签名</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门急诊签名</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电子处方数据签名</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门诊电子申请单数据签名</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门诊病历数据签名</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住院签名</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电子医嘱数据签名</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住院电子申请单数据签名</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住院病历数据签名</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护理签名</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护理医嘱执行数据签名</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护理病历数据签名</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住院护士工作站</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住院护士站</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住院患者入出转</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住院床位管理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住院患者费用处理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护士站医嘱管理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住院护士危急值预警提醒</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住院护士排班</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护嘱管理</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护理信息系统</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护理病历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护理文书录入</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生命体征管理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护理文书查询统计分析</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护理病历阅改</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护士交班管理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护士交班管理</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护理计划</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护理计划管理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护理计划联动规则管理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护理计划统计分析</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健康教育</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住院患者健康教育管理</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移动护理（</w:t>
                  </w:r>
                  <w:r>
                    <w:rPr>
                      <w:rFonts w:ascii="仿宋_GB2312" w:hAnsi="仿宋_GB2312" w:cs="仿宋_GB2312" w:eastAsia="仿宋_GB2312"/>
                      <w:sz w:val="24"/>
                      <w:color w:val="000000"/>
                    </w:rPr>
                    <w:t>PDA）</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移动护理</w:t>
                  </w:r>
                  <w:r>
                    <w:rPr>
                      <w:rFonts w:ascii="仿宋_GB2312" w:hAnsi="仿宋_GB2312" w:cs="仿宋_GB2312" w:eastAsia="仿宋_GB2312"/>
                      <w:sz w:val="24"/>
                      <w:color w:val="000000"/>
                    </w:rPr>
                    <w:t>(PDA)</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患者信息查询</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扫码执行医嘱</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护理临床监控</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临床辅助工具</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病区患者体征采集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移动护理危急值应用</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移动护理文书录入</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移动健康教育</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移动护士交班管理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移动护理计划</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病区移动输血管理</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检验科信息管理系统</w:t>
                  </w:r>
                  <w:r>
                    <w:rPr>
                      <w:rFonts w:ascii="仿宋_GB2312" w:hAnsi="仿宋_GB2312" w:cs="仿宋_GB2312" w:eastAsia="仿宋_GB2312"/>
                      <w:sz w:val="24"/>
                      <w:color w:val="000000"/>
                    </w:rPr>
                    <w:t>LIS</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条码流程管理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门急诊条码管理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住院条码管理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体检条码管理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检验设备条码双工通讯</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标本</w:t>
                  </w:r>
                  <w:r>
                    <w:rPr>
                      <w:rFonts w:ascii="仿宋_GB2312" w:hAnsi="仿宋_GB2312" w:cs="仿宋_GB2312" w:eastAsia="仿宋_GB2312"/>
                      <w:sz w:val="24"/>
                      <w:color w:val="000000"/>
                    </w:rPr>
                    <w:t>TAT时间管理</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常规检验管理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常规设备联机（不少于</w:t>
                  </w:r>
                  <w:r>
                    <w:rPr>
                      <w:rFonts w:ascii="仿宋_GB2312" w:hAnsi="仿宋_GB2312" w:cs="仿宋_GB2312" w:eastAsia="仿宋_GB2312"/>
                      <w:sz w:val="24"/>
                      <w:color w:val="000000"/>
                    </w:rPr>
                    <w:t>5个新设备）</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标本登记及收费</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检验结果处理模块</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检验报告发布回收</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检验报告临床调阅</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查询及统计管理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检验数据分析</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酶标板结果处理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室内质控管理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检验危急值提醒</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临床危急值推送</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微生物管理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微生物联机</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报告管理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三级报告临床发布</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微生物</w:t>
                  </w:r>
                  <w:r>
                    <w:rPr>
                      <w:rFonts w:ascii="仿宋_GB2312" w:hAnsi="仿宋_GB2312" w:cs="仿宋_GB2312" w:eastAsia="仿宋_GB2312"/>
                      <w:sz w:val="24"/>
                      <w:color w:val="000000"/>
                    </w:rPr>
                    <w:t>WHONET接口</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查询及统计管理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实验流程电子化管理</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第三方系统整合</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w:t>
                  </w:r>
                  <w:r>
                    <w:rPr>
                      <w:rFonts w:ascii="仿宋_GB2312" w:hAnsi="仿宋_GB2312" w:cs="仿宋_GB2312" w:eastAsia="仿宋_GB2312"/>
                      <w:sz w:val="24"/>
                      <w:color w:val="000000"/>
                    </w:rPr>
                    <w:t>IS系统与第三方系统接口</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输血科管理系统</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输血科管理</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血袋出入库管理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血型检查鉴定及审核管理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病人备血及发血管理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输血免疫报告</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查询</w:t>
                  </w:r>
                  <w:r>
                    <w:rPr>
                      <w:rFonts w:ascii="仿宋_GB2312" w:hAnsi="仿宋_GB2312" w:cs="仿宋_GB2312" w:eastAsia="仿宋_GB2312"/>
                      <w:sz w:val="24"/>
                      <w:color w:val="000000"/>
                    </w:rPr>
                    <w:t>/统计</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第三方系统整合</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输血与第三方系统接口</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平台</w:t>
                  </w:r>
                  <w:r>
                    <w:rPr>
                      <w:rFonts w:ascii="仿宋_GB2312" w:hAnsi="仿宋_GB2312" w:cs="仿宋_GB2312" w:eastAsia="仿宋_GB2312"/>
                      <w:sz w:val="24"/>
                      <w:color w:val="000000"/>
                    </w:rPr>
                    <w:t>BI</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平台公共模块</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主数据管理</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术语管理</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CDR及其应用</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EMPI主索引</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病案系统</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病案统计管理系统</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病案首页</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统计报表</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国家网络直报系统</w:t>
                  </w:r>
                  <w:r>
                    <w:rPr>
                      <w:rFonts w:ascii="仿宋_GB2312" w:hAnsi="仿宋_GB2312" w:cs="仿宋_GB2312" w:eastAsia="仿宋_GB2312"/>
                      <w:sz w:val="24"/>
                      <w:color w:val="000000"/>
                    </w:rPr>
                    <w:t>(卫统4表)上报</w:t>
                  </w:r>
                </w:p>
              </w:tc>
            </w:tr>
            <w:tr>
              <w:tc>
                <w:tcPr>
                  <w:tcW w:type="dxa" w:w="964"/>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病案示踪</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病案示踪</w:t>
                  </w:r>
                </w:p>
              </w:tc>
            </w:tr>
            <w:tr>
              <w:tc>
                <w:tcPr>
                  <w:tcW w:type="dxa" w:w="964"/>
                  <w:vMerge/>
                  <w:tcBorders>
                    <w:top w:val="none" w:color="000000" w:sz="4"/>
                    <w:left w:val="singl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病案上报</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HQMS首页数据上报系统</w:t>
                  </w:r>
                </w:p>
              </w:tc>
            </w:tr>
            <w:tr>
              <w:tc>
                <w:tcPr>
                  <w:tcW w:type="dxa" w:w="964"/>
                  <w:vMerge/>
                  <w:tcBorders>
                    <w:top w:val="none" w:color="000000" w:sz="4"/>
                    <w:left w:val="singl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公立医院绩效考核病案首页上报系统</w:t>
                  </w:r>
                </w:p>
              </w:tc>
            </w:tr>
            <w:tr>
              <w:tc>
                <w:tcPr>
                  <w:tcW w:type="dxa" w:w="96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接口</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外国人永久居留身份证应用改造</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外国人永久居留身份证应用改造</w:t>
                  </w:r>
                </w:p>
              </w:tc>
            </w:tr>
            <w:tr>
              <w:tc>
                <w:tcPr>
                  <w:tcW w:type="dxa" w:w="964"/>
                  <w:vMerge/>
                  <w:tcBorders>
                    <w:top w:val="none" w:color="000000" w:sz="4"/>
                    <w:left w:val="single" w:color="000000" w:sz="4"/>
                    <w:bottom w:val="non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陕西省医疗保障信息平台定点医药机构接口</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陕西省医疗保障信息平台定点医药机构接口</w:t>
                  </w:r>
                </w:p>
              </w:tc>
            </w:tr>
            <w:tr>
              <w:tc>
                <w:tcPr>
                  <w:tcW w:type="dxa" w:w="964"/>
                  <w:vMerge/>
                  <w:tcBorders>
                    <w:top w:val="none" w:color="000000" w:sz="4"/>
                    <w:left w:val="single" w:color="000000" w:sz="4"/>
                    <w:bottom w:val="non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医保</w:t>
                  </w:r>
                  <w:r>
                    <w:rPr>
                      <w:rFonts w:ascii="仿宋_GB2312" w:hAnsi="仿宋_GB2312" w:cs="仿宋_GB2312" w:eastAsia="仿宋_GB2312"/>
                      <w:sz w:val="24"/>
                      <w:color w:val="000000"/>
                    </w:rPr>
                    <w:t>“双通道”药品目录库接口</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医保</w:t>
                  </w:r>
                  <w:r>
                    <w:rPr>
                      <w:rFonts w:ascii="仿宋_GB2312" w:hAnsi="仿宋_GB2312" w:cs="仿宋_GB2312" w:eastAsia="仿宋_GB2312"/>
                      <w:sz w:val="24"/>
                      <w:color w:val="000000"/>
                    </w:rPr>
                    <w:t>“双通道”药品目录库接口</w:t>
                  </w:r>
                </w:p>
              </w:tc>
            </w:tr>
            <w:tr>
              <w:tc>
                <w:tcPr>
                  <w:tcW w:type="dxa" w:w="964"/>
                  <w:vMerge/>
                  <w:tcBorders>
                    <w:top w:val="none" w:color="000000" w:sz="4"/>
                    <w:left w:val="single" w:color="000000" w:sz="4"/>
                    <w:bottom w:val="non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传染病监测信息自动采集系统接口与医保药品耗材追溯信息采集接口</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传染病监测信息自动采集系统接口与医保药品耗材追溯信息采集接口</w:t>
                  </w:r>
                </w:p>
              </w:tc>
            </w:tr>
            <w:tr>
              <w:tc>
                <w:tcPr>
                  <w:tcW w:type="dxa" w:w="964"/>
                  <w:vMerge/>
                  <w:tcBorders>
                    <w:top w:val="none" w:color="000000" w:sz="4"/>
                    <w:left w:val="single" w:color="000000" w:sz="4"/>
                    <w:bottom w:val="non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电子发票接口</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电子发票接口</w:t>
                  </w:r>
                </w:p>
              </w:tc>
            </w:tr>
            <w:tr>
              <w:tc>
                <w:tcPr>
                  <w:tcW w:type="dxa" w:w="964"/>
                  <w:vMerge/>
                  <w:tcBorders>
                    <w:top w:val="none" w:color="000000" w:sz="4"/>
                    <w:left w:val="single" w:color="000000" w:sz="4"/>
                    <w:bottom w:val="non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医保结算清单系统</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医保结算清单系统</w:t>
                  </w:r>
                </w:p>
              </w:tc>
            </w:tr>
            <w:tr>
              <w:tc>
                <w:tcPr>
                  <w:tcW w:type="dxa" w:w="964"/>
                  <w:vMerge/>
                  <w:tcBorders>
                    <w:top w:val="none" w:color="000000" w:sz="4"/>
                    <w:left w:val="single" w:color="000000" w:sz="4"/>
                    <w:bottom w:val="non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银企接口</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银企接口</w:t>
                  </w:r>
                </w:p>
              </w:tc>
            </w:tr>
            <w:tr>
              <w:tc>
                <w:tcPr>
                  <w:tcW w:type="dxa" w:w="964"/>
                  <w:vMerge/>
                  <w:tcBorders>
                    <w:top w:val="none" w:color="000000" w:sz="4"/>
                    <w:left w:val="single" w:color="000000" w:sz="4"/>
                    <w:bottom w:val="non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DRG接口</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DRG接口</w:t>
                  </w:r>
                </w:p>
              </w:tc>
            </w:tr>
            <w:tr>
              <w:tc>
                <w:tcPr>
                  <w:tcW w:type="dxa" w:w="964"/>
                  <w:vMerge/>
                  <w:tcBorders>
                    <w:top w:val="none" w:color="000000" w:sz="4"/>
                    <w:left w:val="single" w:color="000000" w:sz="4"/>
                    <w:bottom w:val="non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政策类接口服务包</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政策类接口服务包</w:t>
                  </w:r>
                </w:p>
              </w:tc>
            </w:tr>
          </w:tbl>
          <w:p>
            <w:pPr>
              <w:pStyle w:val="null3"/>
              <w:jc w:val="both"/>
            </w:pPr>
            <w:r>
              <w:rPr>
                <w:rFonts w:ascii="仿宋_GB2312" w:hAnsi="仿宋_GB2312" w:cs="仿宋_GB2312" w:eastAsia="仿宋_GB2312"/>
                <w:sz w:val="24"/>
                <w:color w:val="000000"/>
              </w:rPr>
              <w:t>注：信息系统服务清单包含但不限于以上所属模块，以下统称信息系统。</w:t>
            </w:r>
          </w:p>
          <w:p>
            <w:pPr>
              <w:pStyle w:val="null3"/>
              <w:jc w:val="both"/>
            </w:pPr>
            <w:r>
              <w:rPr>
                <w:rFonts w:ascii="仿宋_GB2312" w:hAnsi="仿宋_GB2312" w:cs="仿宋_GB2312" w:eastAsia="仿宋_GB2312"/>
                <w:sz w:val="24"/>
                <w:color w:val="000000"/>
              </w:rPr>
              <w:t>（二）服务范围：</w:t>
            </w:r>
          </w:p>
          <w:p>
            <w:pPr>
              <w:pStyle w:val="null3"/>
              <w:ind w:firstLine="560"/>
              <w:jc w:val="both"/>
            </w:pPr>
            <w:r>
              <w:rPr>
                <w:rFonts w:ascii="仿宋_GB2312" w:hAnsi="仿宋_GB2312" w:cs="仿宋_GB2312" w:eastAsia="仿宋_GB2312"/>
                <w:sz w:val="24"/>
                <w:color w:val="000000"/>
              </w:rPr>
              <w:t>服务期内为医院信息系统提供维护支持服务，保障医院业务系统的稳定运行。服务内容包括客户端安装、配置、系统运行监控、补丁收集及维护、故障解决、系统优化、应急处理、服务器应用巡检、数据库性能的维护等。</w:t>
            </w:r>
          </w:p>
          <w:p>
            <w:pPr>
              <w:pStyle w:val="null3"/>
              <w:ind w:firstLine="560"/>
              <w:jc w:val="both"/>
            </w:pPr>
            <w:r>
              <w:rPr>
                <w:rFonts w:ascii="仿宋_GB2312" w:hAnsi="仿宋_GB2312" w:cs="仿宋_GB2312" w:eastAsia="仿宋_GB2312"/>
                <w:sz w:val="24"/>
                <w:color w:val="000000"/>
              </w:rPr>
              <w:t>1）日常维护：包含改正性维护和完善性维护等。改正性维护即弥补系统本身漏洞和修复其不完善的地方，如在定期的检测、运行过程中发现由于系统使用过程中而出现的报错、异常数据处理、在用统计报表不准确等问题。完善性维护即在软件使用过程中，为满足用户提出的多种需求，如增加某些功能或修改已有的功能和新增统计报表等进行的维护。</w:t>
            </w:r>
          </w:p>
          <w:p>
            <w:pPr>
              <w:pStyle w:val="null3"/>
              <w:ind w:firstLine="560"/>
              <w:jc w:val="both"/>
            </w:pPr>
            <w:r>
              <w:rPr>
                <w:rFonts w:ascii="仿宋_GB2312" w:hAnsi="仿宋_GB2312" w:cs="仿宋_GB2312" w:eastAsia="仿宋_GB2312"/>
                <w:sz w:val="24"/>
                <w:color w:val="000000"/>
              </w:rPr>
              <w:t>2）软件升级：服务方在保障服务清单模块的基础上，在功能模块允许范围内，服务方根据医院的合理要求进行软件修改，并提供软件升级程序及补丁下载服务等。</w:t>
            </w:r>
          </w:p>
          <w:p>
            <w:pPr>
              <w:pStyle w:val="null3"/>
              <w:ind w:firstLine="560"/>
              <w:jc w:val="both"/>
            </w:pPr>
            <w:r>
              <w:rPr>
                <w:rFonts w:ascii="仿宋_GB2312" w:hAnsi="仿宋_GB2312" w:cs="仿宋_GB2312" w:eastAsia="仿宋_GB2312"/>
                <w:sz w:val="24"/>
                <w:color w:val="000000"/>
              </w:rPr>
              <w:t>3）接口、报表：ESB接口平台接入，服务商免费配合第三方公司进行接口调试联通。根据医院管理及业务的需求，新增报表的编制,并对已有报表格式、内容进行修改。</w:t>
            </w:r>
          </w:p>
          <w:p>
            <w:pPr>
              <w:pStyle w:val="null3"/>
              <w:ind w:firstLine="560"/>
              <w:jc w:val="both"/>
            </w:pPr>
            <w:r>
              <w:rPr>
                <w:rFonts w:ascii="仿宋_GB2312" w:hAnsi="仿宋_GB2312" w:cs="仿宋_GB2312" w:eastAsia="仿宋_GB2312"/>
                <w:sz w:val="24"/>
                <w:color w:val="000000"/>
              </w:rPr>
              <w:t>4）系统改造：提供院方信息系统流程变更咨询，业务调整的优化改造。</w:t>
            </w:r>
          </w:p>
          <w:p>
            <w:pPr>
              <w:pStyle w:val="null3"/>
              <w:ind w:firstLine="560"/>
              <w:jc w:val="both"/>
            </w:pPr>
            <w:r>
              <w:rPr>
                <w:rFonts w:ascii="仿宋_GB2312" w:hAnsi="仿宋_GB2312" w:cs="仿宋_GB2312" w:eastAsia="仿宋_GB2312"/>
                <w:sz w:val="24"/>
                <w:color w:val="000000"/>
              </w:rPr>
              <w:t>5）配合院方做好互联互通、电子病历、等保测评等工程。</w:t>
            </w:r>
          </w:p>
          <w:p>
            <w:pPr>
              <w:pStyle w:val="null3"/>
              <w:jc w:val="both"/>
            </w:pPr>
            <w:r>
              <w:rPr>
                <w:rFonts w:ascii="仿宋_GB2312" w:hAnsi="仿宋_GB2312" w:cs="仿宋_GB2312" w:eastAsia="仿宋_GB2312"/>
                <w:sz w:val="24"/>
                <w:color w:val="000000"/>
              </w:rPr>
              <w:t>（三）服务要求：</w:t>
            </w:r>
          </w:p>
          <w:p>
            <w:pPr>
              <w:pStyle w:val="null3"/>
              <w:ind w:firstLine="560"/>
              <w:jc w:val="both"/>
            </w:pPr>
            <w:r>
              <w:rPr>
                <w:rFonts w:ascii="仿宋_GB2312" w:hAnsi="仿宋_GB2312" w:cs="仿宋_GB2312" w:eastAsia="仿宋_GB2312"/>
                <w:sz w:val="24"/>
                <w:color w:val="000000"/>
              </w:rPr>
              <w:t>保障医院信息化建设与应用高效进行，由专业团队提供专业的技术服务与支持，提供清晰明确服务内容与规范的服务体系。</w:t>
            </w:r>
          </w:p>
          <w:p>
            <w:pPr>
              <w:pStyle w:val="null3"/>
              <w:ind w:firstLine="5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1）现场</w:t>
            </w:r>
            <w:r>
              <w:rPr>
                <w:rFonts w:ascii="仿宋_GB2312" w:hAnsi="仿宋_GB2312" w:cs="仿宋_GB2312" w:eastAsia="仿宋_GB2312"/>
                <w:sz w:val="24"/>
                <w:color w:val="000000"/>
              </w:rPr>
              <w:t>驻</w:t>
            </w:r>
            <w:r>
              <w:rPr>
                <w:rFonts w:ascii="仿宋_GB2312" w:hAnsi="仿宋_GB2312" w:cs="仿宋_GB2312" w:eastAsia="仿宋_GB2312"/>
                <w:sz w:val="24"/>
                <w:color w:val="000000"/>
              </w:rPr>
              <w:t>场</w:t>
            </w:r>
            <w:r>
              <w:rPr>
                <w:rFonts w:ascii="仿宋_GB2312" w:hAnsi="仿宋_GB2312" w:cs="仿宋_GB2312" w:eastAsia="仿宋_GB2312"/>
                <w:sz w:val="24"/>
                <w:color w:val="000000"/>
              </w:rPr>
              <w:t>服务：要求服务商提供不少于</w:t>
            </w:r>
            <w:r>
              <w:rPr>
                <w:rFonts w:ascii="仿宋_GB2312" w:hAnsi="仿宋_GB2312" w:cs="仿宋_GB2312" w:eastAsia="仿宋_GB2312"/>
                <w:sz w:val="24"/>
                <w:color w:val="000000"/>
              </w:rPr>
              <w:t>1名驻厂工程师，现场提供服务。</w:t>
            </w:r>
            <w:r>
              <w:rPr>
                <w:rFonts w:ascii="仿宋_GB2312" w:hAnsi="仿宋_GB2312" w:cs="仿宋_GB2312" w:eastAsia="仿宋_GB2312"/>
              </w:rPr>
              <w:t>1</w:t>
            </w:r>
            <w:r>
              <w:rPr>
                <w:rFonts w:ascii="仿宋_GB2312" w:hAnsi="仿宋_GB2312" w:cs="仿宋_GB2312" w:eastAsia="仿宋_GB2312"/>
                <w:sz w:val="24"/>
                <w:color w:val="000000"/>
              </w:rPr>
              <w:t>按照医院出勤管理，参与科室日常工作（包含但不限于科室值班，日常巡检等）；</w:t>
            </w:r>
            <w:r>
              <w:rPr>
                <w:rFonts w:ascii="仿宋_GB2312" w:hAnsi="仿宋_GB2312" w:cs="仿宋_GB2312" w:eastAsia="仿宋_GB2312"/>
              </w:rPr>
              <w:t>2</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1名备用工程师。并根据院方要求认真、填写工作记录单（月报）。如服务过程中涉及医院数据管理相关的操作，必须经院方管理人员授权后，予以操作，完成后在</w:t>
            </w:r>
            <w:r>
              <w:rPr>
                <w:rFonts w:ascii="仿宋_GB2312" w:hAnsi="仿宋_GB2312" w:cs="仿宋_GB2312" w:eastAsia="仿宋_GB2312"/>
                <w:sz w:val="24"/>
                <w:color w:val="000000"/>
              </w:rPr>
              <w:t>工作记录单上签字确认。如服务商需更换人员，需提前告知采购人并取得同意。</w:t>
            </w:r>
          </w:p>
          <w:p>
            <w:pPr>
              <w:pStyle w:val="null3"/>
              <w:ind w:firstLine="560"/>
              <w:jc w:val="both"/>
            </w:pPr>
            <w:r>
              <w:rPr>
                <w:rFonts w:ascii="仿宋_GB2312" w:hAnsi="仿宋_GB2312" w:cs="仿宋_GB2312" w:eastAsia="仿宋_GB2312"/>
                <w:sz w:val="24"/>
                <w:color w:val="000000"/>
              </w:rPr>
              <w:t>若遇到驻场人员无法解决的疑难问题，服务商需提供更高级别的人员到场予以处理。</w:t>
            </w:r>
          </w:p>
          <w:p>
            <w:pPr>
              <w:pStyle w:val="null3"/>
              <w:ind w:firstLine="560"/>
              <w:jc w:val="both"/>
            </w:pPr>
            <w:r>
              <w:rPr>
                <w:rFonts w:ascii="仿宋_GB2312" w:hAnsi="仿宋_GB2312" w:cs="仿宋_GB2312" w:eastAsia="仿宋_GB2312"/>
                <w:sz w:val="24"/>
                <w:color w:val="000000"/>
              </w:rPr>
              <w:t>2）现场巡检服务：要求服务商提供每月一次的现场巡检服务，检查的内容包括数据库运行状态检查、数据完整性检查等，并及时提供巡检报告。</w:t>
            </w:r>
          </w:p>
          <w:p>
            <w:pPr>
              <w:pStyle w:val="null3"/>
              <w:ind w:firstLine="560"/>
              <w:jc w:val="both"/>
            </w:pPr>
            <w:r>
              <w:rPr>
                <w:rFonts w:ascii="仿宋_GB2312" w:hAnsi="仿宋_GB2312" w:cs="仿宋_GB2312" w:eastAsia="仿宋_GB2312"/>
                <w:sz w:val="24"/>
                <w:color w:val="000000"/>
              </w:rPr>
              <w:t>3）软件补丁服务：服务商在维护及软件巡检过程中发现软件存在故障隐患时，经用院方同意后，服务商提供并安装所必须的软件补丁程序，且要保证提供的软件补丁的合法性。如果任何第三方向院方提起侵权索赔,服务商应负责与之进行交涉,并承担由此引起的一切责任。</w:t>
            </w:r>
          </w:p>
          <w:p>
            <w:pPr>
              <w:pStyle w:val="null3"/>
              <w:ind w:firstLine="560"/>
              <w:jc w:val="both"/>
            </w:pPr>
            <w:r>
              <w:rPr>
                <w:rFonts w:ascii="仿宋_GB2312" w:hAnsi="仿宋_GB2312" w:cs="仿宋_GB2312" w:eastAsia="仿宋_GB2312"/>
                <w:sz w:val="24"/>
                <w:color w:val="000000"/>
              </w:rPr>
              <w:t>4）技术资料服务：服务商为用户提供软件正常运行的必要技术资料(涉及技术和商业机密的除外)，其中包括有关产品知识、操作手册、软件运行维护经验、技术文档等资料。常用资料可提供纸质文档或电子文档。</w:t>
            </w:r>
          </w:p>
          <w:p>
            <w:pPr>
              <w:pStyle w:val="null3"/>
              <w:ind w:firstLine="560"/>
              <w:jc w:val="both"/>
            </w:pPr>
            <w:r>
              <w:rPr>
                <w:rFonts w:ascii="仿宋_GB2312" w:hAnsi="仿宋_GB2312" w:cs="仿宋_GB2312" w:eastAsia="仿宋_GB2312"/>
                <w:sz w:val="24"/>
                <w:color w:val="000000"/>
              </w:rPr>
              <w:t>5）培训服务：在服务期内，服务商定期提供汇总、整理近阶段软件故障的问题分析、解决方案等技术资料，提交给院方，并为院方的软件维护人员进行不定期的日常维护培训（包括故障发生的原因、处理过程、以及类似故障的预防和处理经验）。</w:t>
            </w:r>
          </w:p>
          <w:p>
            <w:pPr>
              <w:pStyle w:val="null3"/>
              <w:ind w:firstLine="560"/>
              <w:jc w:val="both"/>
            </w:pPr>
            <w:r>
              <w:rPr>
                <w:rFonts w:ascii="仿宋_GB2312" w:hAnsi="仿宋_GB2312" w:cs="仿宋_GB2312" w:eastAsia="仿宋_GB2312"/>
                <w:sz w:val="24"/>
                <w:color w:val="000000"/>
              </w:rPr>
              <w:t>6）辅助故障定位服务：当故障涉及多方软件，院方无法进行准确故障定位情况下，服务商需提供相应技术支持，辅助院方进行准确的故障定位。实现手段包括但不限于：电话技术支持服务，远程支持、现场支持服务。</w:t>
            </w:r>
          </w:p>
          <w:p>
            <w:pPr>
              <w:pStyle w:val="null3"/>
              <w:ind w:firstLine="560"/>
              <w:jc w:val="both"/>
            </w:pPr>
            <w:r>
              <w:rPr>
                <w:rFonts w:ascii="仿宋_GB2312" w:hAnsi="仿宋_GB2312" w:cs="仿宋_GB2312" w:eastAsia="仿宋_GB2312"/>
                <w:sz w:val="24"/>
                <w:color w:val="000000"/>
              </w:rPr>
              <w:t>7）保密规定：服务商不得泄露院方的保密信息，不得做损害院方声誉和有损院方形象的行为。该约定在本合同终止后仍然继续有效，且不受合同解除、终止或无效的影响。</w:t>
            </w:r>
          </w:p>
          <w:p>
            <w:pPr>
              <w:pStyle w:val="null3"/>
              <w:ind w:firstLine="560"/>
              <w:jc w:val="both"/>
            </w:pPr>
            <w:r>
              <w:rPr>
                <w:rFonts w:ascii="仿宋_GB2312" w:hAnsi="仿宋_GB2312" w:cs="仿宋_GB2312" w:eastAsia="仿宋_GB2312"/>
                <w:sz w:val="24"/>
                <w:color w:val="000000"/>
              </w:rPr>
              <w:t>8）配合医院建立医院网络与信息安全运行应急工作机制，检验医院信息安全综合应急预案和业务技术专项应急预案的有效性，保证各项应急指挥调度工作迅速、高效、有序地进行，满足突发情况下网络与信息系统运行保障和故障恢复的需要，确保信息系统安全畅通。</w:t>
            </w:r>
          </w:p>
          <w:p>
            <w:pPr>
              <w:pStyle w:val="null3"/>
              <w:ind w:firstLine="560"/>
              <w:jc w:val="both"/>
            </w:pPr>
            <w:r>
              <w:rPr>
                <w:rFonts w:ascii="仿宋_GB2312" w:hAnsi="仿宋_GB2312" w:cs="仿宋_GB2312" w:eastAsia="仿宋_GB2312"/>
                <w:sz w:val="24"/>
                <w:color w:val="000000"/>
              </w:rPr>
              <w:t>9）乙方不得以公司考核或其他事宜为由，进行人员调整。人员更换需征得</w:t>
            </w:r>
            <w:r>
              <w:rPr>
                <w:rFonts w:ascii="仿宋_GB2312" w:hAnsi="仿宋_GB2312" w:cs="仿宋_GB2312" w:eastAsia="仿宋_GB2312"/>
                <w:sz w:val="24"/>
                <w:color w:val="000000"/>
              </w:rPr>
              <w:t>院方</w:t>
            </w:r>
            <w:r>
              <w:rPr>
                <w:rFonts w:ascii="仿宋_GB2312" w:hAnsi="仿宋_GB2312" w:cs="仿宋_GB2312" w:eastAsia="仿宋_GB2312"/>
                <w:sz w:val="24"/>
                <w:color w:val="000000"/>
              </w:rPr>
              <w:t>同意，并提前一周告知。</w:t>
            </w:r>
          </w:p>
          <w:p>
            <w:pPr>
              <w:pStyle w:val="null3"/>
              <w:ind w:firstLine="560"/>
              <w:jc w:val="both"/>
            </w:pPr>
            <w:r>
              <w:rPr>
                <w:rFonts w:ascii="仿宋_GB2312" w:hAnsi="仿宋_GB2312" w:cs="仿宋_GB2312" w:eastAsia="仿宋_GB2312"/>
                <w:sz w:val="24"/>
                <w:color w:val="000000"/>
              </w:rPr>
              <w:t>10）排除人为因素外信息系统服务全年中断不超过3次，服务器全年宕机不超过3次，数据库死锁类不超过3次。</w:t>
            </w:r>
          </w:p>
          <w:p>
            <w:pPr>
              <w:pStyle w:val="null3"/>
              <w:ind w:firstLine="560"/>
              <w:jc w:val="both"/>
            </w:pPr>
            <w:r>
              <w:rPr>
                <w:rFonts w:ascii="仿宋_GB2312" w:hAnsi="仿宋_GB2312" w:cs="仿宋_GB2312" w:eastAsia="仿宋_GB2312"/>
                <w:sz w:val="24"/>
                <w:color w:val="000000"/>
              </w:rPr>
              <w:t>11）梳理医院主要系统、接口清单及部署对接方式。</w:t>
            </w:r>
          </w:p>
          <w:p>
            <w:pPr>
              <w:pStyle w:val="null3"/>
              <w:jc w:val="both"/>
            </w:pPr>
            <w:r>
              <w:rPr>
                <w:rFonts w:ascii="仿宋_GB2312" w:hAnsi="仿宋_GB2312" w:cs="仿宋_GB2312" w:eastAsia="仿宋_GB2312"/>
                <w:sz w:val="24"/>
                <w:b/>
                <w:color w:val="000000"/>
              </w:rPr>
              <w:t>三、服务具体内容及故障分级响应</w:t>
            </w:r>
          </w:p>
          <w:p>
            <w:pPr>
              <w:pStyle w:val="null3"/>
              <w:jc w:val="both"/>
            </w:pPr>
            <w:r>
              <w:rPr>
                <w:rFonts w:ascii="仿宋_GB2312" w:hAnsi="仿宋_GB2312" w:cs="仿宋_GB2312" w:eastAsia="仿宋_GB2312"/>
                <w:sz w:val="24"/>
                <w:color w:val="000000"/>
              </w:rPr>
              <w:t>（一）服务具体内容：</w:t>
            </w:r>
          </w:p>
          <w:p>
            <w:pPr>
              <w:pStyle w:val="null3"/>
              <w:ind w:firstLine="560"/>
              <w:jc w:val="both"/>
            </w:pPr>
            <w:r>
              <w:rPr>
                <w:rFonts w:ascii="仿宋_GB2312" w:hAnsi="仿宋_GB2312" w:cs="仿宋_GB2312" w:eastAsia="仿宋_GB2312"/>
                <w:sz w:val="24"/>
                <w:color w:val="000000"/>
              </w:rPr>
              <w:t>1）培训：对院方负责信息系统运维的工程师提供维护培训；每月末对本月问题出现最多的信息系统使用部门人员进行现场针对性培训。若遇特殊情况，需要临时与信息系统或相关内容培训的，服务方须积极配合。每次培训结束，服务方要有培训记录。</w:t>
            </w:r>
          </w:p>
          <w:p>
            <w:pPr>
              <w:pStyle w:val="null3"/>
              <w:ind w:firstLine="560"/>
              <w:jc w:val="both"/>
            </w:pPr>
            <w:r>
              <w:rPr>
                <w:rFonts w:ascii="仿宋_GB2312" w:hAnsi="仿宋_GB2312" w:cs="仿宋_GB2312" w:eastAsia="仿宋_GB2312"/>
                <w:sz w:val="24"/>
                <w:color w:val="000000"/>
              </w:rPr>
              <w:t>2）巡检：每月按照服务范围中的内容进行各科室现场巡检，院方人员进行签字确认。每季度进行一次数据完整性及安全性验证和数据库调整优化，提高访问数据速度。巡检及服务的人员要设专人，若有调整，须经院方人员同意。每次巡检后一周内，服务方要提供正式报告反馈。</w:t>
            </w:r>
          </w:p>
          <w:p>
            <w:pPr>
              <w:pStyle w:val="null3"/>
              <w:ind w:firstLine="560"/>
              <w:jc w:val="both"/>
            </w:pPr>
            <w:r>
              <w:rPr>
                <w:rFonts w:ascii="仿宋_GB2312" w:hAnsi="仿宋_GB2312" w:cs="仿宋_GB2312" w:eastAsia="仿宋_GB2312"/>
                <w:sz w:val="24"/>
                <w:color w:val="000000"/>
              </w:rPr>
              <w:t>3）接口：处理因接口程序错误导致的数据传输异常，对网络不稳定、对码错误、硬件故障或其他原因导致的接口数据传输失败，要全程协助院方找到原因并处理。因第三方软件厂商程序调整或升级，导致原有接口程序的调整，服务商也需要对接口进行修改，直至接口能够正常使用。</w:t>
            </w:r>
          </w:p>
          <w:p>
            <w:pPr>
              <w:pStyle w:val="null3"/>
              <w:ind w:firstLine="560"/>
              <w:jc w:val="both"/>
            </w:pPr>
            <w:r>
              <w:rPr>
                <w:rFonts w:ascii="仿宋_GB2312" w:hAnsi="仿宋_GB2312" w:cs="仿宋_GB2312" w:eastAsia="仿宋_GB2312"/>
                <w:sz w:val="24"/>
                <w:color w:val="000000"/>
              </w:rPr>
              <w:t>4）报表类：按照医院需求管理，严格审批执行，并根据科室需要订制新报表和修改现有报表准确、高效。</w:t>
            </w:r>
          </w:p>
          <w:p>
            <w:pPr>
              <w:pStyle w:val="null3"/>
              <w:ind w:firstLine="560"/>
              <w:jc w:val="both"/>
            </w:pPr>
            <w:r>
              <w:rPr>
                <w:rFonts w:ascii="仿宋_GB2312" w:hAnsi="仿宋_GB2312" w:cs="仿宋_GB2312" w:eastAsia="仿宋_GB2312"/>
                <w:sz w:val="24"/>
                <w:color w:val="000000"/>
              </w:rPr>
              <w:t>根据报表复杂程度分类：关联信息系统数据库中</w:t>
            </w:r>
            <w:r>
              <w:rPr>
                <w:rFonts w:ascii="仿宋_GB2312" w:hAnsi="仿宋_GB2312" w:cs="仿宋_GB2312" w:eastAsia="仿宋_GB2312"/>
                <w:sz w:val="24"/>
                <w:color w:val="000000"/>
              </w:rPr>
              <w:t>1-2个表进行查询的属于简单报表；关联数据库中3-5个表进行查询的属于一般报表；关联数据库中5个以上表进行查询的属于复杂报表。</w:t>
            </w:r>
          </w:p>
          <w:p>
            <w:pPr>
              <w:pStyle w:val="null3"/>
              <w:ind w:firstLine="560"/>
              <w:jc w:val="both"/>
            </w:pPr>
            <w:r>
              <w:rPr>
                <w:rFonts w:ascii="仿宋_GB2312" w:hAnsi="仿宋_GB2312" w:cs="仿宋_GB2312" w:eastAsia="仿宋_GB2312"/>
                <w:sz w:val="24"/>
                <w:color w:val="000000"/>
              </w:rPr>
              <w:t>对于不同类别的报表，要求完成时间如下表所示：</w:t>
            </w:r>
          </w:p>
          <w:tbl>
            <w:tblPr>
              <w:tblInd w:type="dxa" w:w="120"/>
              <w:tblBorders>
                <w:top w:val="none" w:color="000000" w:sz="4"/>
                <w:left w:val="none" w:color="000000" w:sz="4"/>
                <w:bottom w:val="none" w:color="000000" w:sz="4"/>
                <w:right w:val="none" w:color="000000" w:sz="4"/>
                <w:insideH w:val="none"/>
                <w:insideV w:val="none"/>
              </w:tblBorders>
            </w:tblPr>
            <w:tblGrid>
              <w:gridCol w:w="821"/>
              <w:gridCol w:w="817"/>
              <w:gridCol w:w="914"/>
            </w:tblGrid>
            <w:tr>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需求分类</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报表分类</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完成时限</w:t>
                  </w:r>
                </w:p>
              </w:tc>
            </w:tr>
            <w:tr>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新增报表</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简单报表</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821"/>
                  <w:vMerge/>
                  <w:tcBorders>
                    <w:top w:val="none" w:color="000000" w:sz="4"/>
                    <w:left w:val="singl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复杂报表</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5天</w:t>
                  </w:r>
                </w:p>
              </w:tc>
            </w:tr>
            <w:tr>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优化报表</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简单报表</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821"/>
                  <w:vMerge/>
                  <w:tcBorders>
                    <w:top w:val="none" w:color="000000" w:sz="4"/>
                    <w:left w:val="singl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复杂报表</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3天</w:t>
                  </w:r>
                </w:p>
              </w:tc>
            </w:tr>
          </w:tbl>
          <w:p>
            <w:pPr>
              <w:pStyle w:val="null3"/>
              <w:ind w:firstLine="560"/>
              <w:jc w:val="both"/>
            </w:pPr>
            <w:r>
              <w:rPr>
                <w:rFonts w:ascii="仿宋_GB2312" w:hAnsi="仿宋_GB2312" w:cs="仿宋_GB2312" w:eastAsia="仿宋_GB2312"/>
                <w:sz w:val="24"/>
                <w:color w:val="000000"/>
              </w:rPr>
              <w:t>注：该表</w:t>
            </w:r>
            <w:r>
              <w:rPr>
                <w:rFonts w:ascii="仿宋_GB2312" w:hAnsi="仿宋_GB2312" w:cs="仿宋_GB2312" w:eastAsia="仿宋_GB2312"/>
                <w:sz w:val="24"/>
                <w:color w:val="000000"/>
              </w:rPr>
              <w:t>“天”数均为日历日。</w:t>
            </w:r>
          </w:p>
          <w:p>
            <w:pPr>
              <w:pStyle w:val="null3"/>
              <w:ind w:firstLine="560"/>
              <w:jc w:val="both"/>
            </w:pPr>
            <w:r>
              <w:rPr>
                <w:rFonts w:ascii="仿宋_GB2312" w:hAnsi="仿宋_GB2312" w:cs="仿宋_GB2312" w:eastAsia="仿宋_GB2312"/>
                <w:sz w:val="24"/>
                <w:color w:val="000000"/>
              </w:rPr>
              <w:t>新编制或修改报表要求及时完成且数据准确无误，若由报表数据错误和延误而产生的一切后果由服务商承担，并视其严重程度扣其部分合同金额。</w:t>
            </w:r>
          </w:p>
          <w:p>
            <w:pPr>
              <w:pStyle w:val="null3"/>
              <w:ind w:firstLine="560"/>
              <w:jc w:val="both"/>
            </w:pPr>
            <w:r>
              <w:rPr>
                <w:rFonts w:ascii="仿宋_GB2312" w:hAnsi="仿宋_GB2312" w:cs="仿宋_GB2312" w:eastAsia="仿宋_GB2312"/>
                <w:sz w:val="24"/>
                <w:color w:val="000000"/>
              </w:rPr>
              <w:t>5）协作：协助医疗设备（检验设备、检查设备）进行调试，保证系统完整安全应用。</w:t>
            </w:r>
          </w:p>
          <w:p>
            <w:pPr>
              <w:pStyle w:val="null3"/>
              <w:jc w:val="both"/>
            </w:pPr>
            <w:r>
              <w:rPr>
                <w:rFonts w:ascii="仿宋_GB2312" w:hAnsi="仿宋_GB2312" w:cs="仿宋_GB2312" w:eastAsia="仿宋_GB2312"/>
                <w:sz w:val="24"/>
                <w:color w:val="000000"/>
              </w:rPr>
              <w:t>（二）故障分级响应</w:t>
            </w:r>
          </w:p>
          <w:p>
            <w:pPr>
              <w:pStyle w:val="null3"/>
              <w:ind w:firstLine="560"/>
              <w:jc w:val="both"/>
            </w:pPr>
            <w:r>
              <w:rPr>
                <w:rFonts w:ascii="仿宋_GB2312" w:hAnsi="仿宋_GB2312" w:cs="仿宋_GB2312" w:eastAsia="仿宋_GB2312"/>
                <w:sz w:val="24"/>
                <w:color w:val="000000"/>
              </w:rPr>
              <w:t>1）系统一般日常软件问题,如患者出院结算、费用核对等，10分钟内响应，30分钟内解决。如遇复杂问题需给出解决时限并及时解决。</w:t>
            </w:r>
          </w:p>
          <w:p>
            <w:pPr>
              <w:pStyle w:val="null3"/>
              <w:ind w:firstLine="560"/>
              <w:jc w:val="both"/>
            </w:pPr>
            <w:r>
              <w:rPr>
                <w:rFonts w:ascii="仿宋_GB2312" w:hAnsi="仿宋_GB2312" w:cs="仿宋_GB2312" w:eastAsia="仿宋_GB2312"/>
                <w:sz w:val="24"/>
                <w:color w:val="000000"/>
              </w:rPr>
              <w:t>2）主要窗口部门瘫痪，信息系统不能满足正常需求，立即响应，15分钟内解决。如遇复杂问题需给出解决时限并及时解决。</w:t>
            </w:r>
          </w:p>
          <w:p>
            <w:pPr>
              <w:pStyle w:val="null3"/>
              <w:ind w:firstLine="560"/>
              <w:jc w:val="both"/>
            </w:pPr>
            <w:r>
              <w:rPr>
                <w:rFonts w:ascii="仿宋_GB2312" w:hAnsi="仿宋_GB2312" w:cs="仿宋_GB2312" w:eastAsia="仿宋_GB2312"/>
                <w:sz w:val="24"/>
                <w:color w:val="000000"/>
              </w:rPr>
              <w:t>3）一般错误类故障，如数据核对、查错类，15分钟内相应，1个工作日内解决。如遇复杂问题需给出解决时限并及时解决。</w:t>
            </w:r>
          </w:p>
          <w:p>
            <w:pPr>
              <w:pStyle w:val="null3"/>
              <w:ind w:firstLine="560"/>
              <w:jc w:val="both"/>
            </w:pPr>
            <w:r>
              <w:rPr>
                <w:rFonts w:ascii="仿宋_GB2312" w:hAnsi="仿宋_GB2312" w:cs="仿宋_GB2312" w:eastAsia="仿宋_GB2312"/>
                <w:sz w:val="24"/>
                <w:color w:val="000000"/>
              </w:rPr>
              <w:t>注：以上解决故障时限从接到院方报修起算。</w:t>
            </w:r>
          </w:p>
          <w:p>
            <w:pPr>
              <w:pStyle w:val="null3"/>
              <w:jc w:val="both"/>
            </w:pPr>
            <w:r>
              <w:rPr>
                <w:rFonts w:ascii="仿宋_GB2312" w:hAnsi="仿宋_GB2312" w:cs="仿宋_GB2312" w:eastAsia="仿宋_GB2312"/>
                <w:sz w:val="24"/>
                <w:color w:val="000000"/>
              </w:rPr>
              <w:t>（三）服务商要求：</w:t>
            </w:r>
          </w:p>
          <w:p>
            <w:pPr>
              <w:pStyle w:val="null3"/>
              <w:ind w:firstLine="560"/>
              <w:jc w:val="both"/>
            </w:pPr>
            <w:r>
              <w:rPr>
                <w:rFonts w:ascii="仿宋_GB2312" w:hAnsi="仿宋_GB2312" w:cs="仿宋_GB2312" w:eastAsia="仿宋_GB2312"/>
                <w:sz w:val="24"/>
                <w:color w:val="000000"/>
              </w:rPr>
              <w:t>1）能够安全可靠地提供约定的服务项目。</w:t>
            </w:r>
          </w:p>
          <w:p>
            <w:pPr>
              <w:pStyle w:val="null3"/>
              <w:ind w:firstLine="560"/>
              <w:jc w:val="both"/>
            </w:pPr>
            <w:r>
              <w:rPr>
                <w:rFonts w:ascii="仿宋_GB2312" w:hAnsi="仿宋_GB2312" w:cs="仿宋_GB2312" w:eastAsia="仿宋_GB2312"/>
                <w:sz w:val="24"/>
                <w:color w:val="000000"/>
              </w:rPr>
              <w:t>2）按时提供相应的文档（如解决方案、培训计划、各类维护巡检记录）。</w:t>
            </w:r>
          </w:p>
          <w:p>
            <w:pPr>
              <w:pStyle w:val="null3"/>
              <w:ind w:firstLine="560"/>
              <w:jc w:val="both"/>
            </w:pPr>
            <w:r>
              <w:rPr>
                <w:rFonts w:ascii="仿宋_GB2312" w:hAnsi="仿宋_GB2312" w:cs="仿宋_GB2312" w:eastAsia="仿宋_GB2312"/>
                <w:sz w:val="24"/>
                <w:color w:val="000000"/>
              </w:rPr>
              <w:t>3）发现院方提供的技术资料、数据及工作条件不符合约定的，须及时通知院方补充、修改或更换。</w:t>
            </w:r>
          </w:p>
          <w:p>
            <w:pPr>
              <w:pStyle w:val="null3"/>
              <w:ind w:firstLine="560"/>
              <w:jc w:val="both"/>
            </w:pPr>
            <w:r>
              <w:rPr>
                <w:rFonts w:ascii="仿宋_GB2312" w:hAnsi="仿宋_GB2312" w:cs="仿宋_GB2312" w:eastAsia="仿宋_GB2312"/>
                <w:sz w:val="24"/>
                <w:color w:val="000000"/>
              </w:rPr>
              <w:t>4）约束其员工遵守医院保密规定，不得造成医院的各项数据泄露。</w:t>
            </w:r>
          </w:p>
          <w:p>
            <w:pPr>
              <w:pStyle w:val="null3"/>
              <w:ind w:firstLine="560"/>
              <w:jc w:val="both"/>
            </w:pPr>
            <w:r>
              <w:rPr>
                <w:rFonts w:ascii="仿宋_GB2312" w:hAnsi="仿宋_GB2312" w:cs="仿宋_GB2312" w:eastAsia="仿宋_GB2312"/>
                <w:sz w:val="24"/>
                <w:color w:val="000000"/>
              </w:rPr>
              <w:t>服务商若违反以上承诺中的任意一项，扣除合同款</w:t>
            </w:r>
            <w:r>
              <w:rPr>
                <w:rFonts w:ascii="仿宋_GB2312" w:hAnsi="仿宋_GB2312" w:cs="仿宋_GB2312" w:eastAsia="仿宋_GB2312"/>
                <w:sz w:val="24"/>
                <w:color w:val="000000"/>
              </w:rPr>
              <w:t>10%。若在服务范围内，因服务方人员或技术原因导致</w:t>
            </w:r>
            <w:r>
              <w:rPr>
                <w:rFonts w:ascii="仿宋_GB2312" w:hAnsi="仿宋_GB2312" w:cs="仿宋_GB2312" w:eastAsia="仿宋_GB2312"/>
                <w:sz w:val="24"/>
                <w:color w:val="000000"/>
              </w:rPr>
              <w:t>院方</w:t>
            </w:r>
            <w:r>
              <w:rPr>
                <w:rFonts w:ascii="仿宋_GB2312" w:hAnsi="仿宋_GB2312" w:cs="仿宋_GB2312" w:eastAsia="仿宋_GB2312"/>
                <w:sz w:val="24"/>
                <w:color w:val="000000"/>
              </w:rPr>
              <w:t>数据丢失、财产损失等重大事故，根据事故程度，由乙方自行承担后果。</w:t>
            </w:r>
          </w:p>
          <w:p>
            <w:pPr>
              <w:pStyle w:val="null3"/>
              <w:jc w:val="both"/>
            </w:pPr>
            <w:r>
              <w:rPr>
                <w:rFonts w:ascii="仿宋_GB2312" w:hAnsi="仿宋_GB2312" w:cs="仿宋_GB2312" w:eastAsia="仿宋_GB2312"/>
                <w:sz w:val="24"/>
                <w:b/>
                <w:color w:val="000000"/>
              </w:rPr>
              <w:t>四、驻场工程师管理</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服务具体内容：</w:t>
            </w:r>
          </w:p>
          <w:p>
            <w:pPr>
              <w:pStyle w:val="null3"/>
              <w:ind w:firstLine="560"/>
              <w:jc w:val="both"/>
            </w:pPr>
            <w:r>
              <w:rPr>
                <w:rFonts w:ascii="仿宋_GB2312" w:hAnsi="仿宋_GB2312" w:cs="仿宋_GB2312" w:eastAsia="仿宋_GB2312"/>
                <w:sz w:val="24"/>
                <w:color w:val="000000"/>
              </w:rPr>
              <w:t>1）具有五年以上三甲医院信息系统实施经验，沟通能力强。乙方须向</w:t>
            </w:r>
            <w:r>
              <w:rPr>
                <w:rFonts w:ascii="仿宋_GB2312" w:hAnsi="仿宋_GB2312" w:cs="仿宋_GB2312" w:eastAsia="仿宋_GB2312"/>
                <w:sz w:val="24"/>
                <w:color w:val="000000"/>
              </w:rPr>
              <w:t>院方</w:t>
            </w:r>
            <w:r>
              <w:rPr>
                <w:rFonts w:ascii="仿宋_GB2312" w:hAnsi="仿宋_GB2312" w:cs="仿宋_GB2312" w:eastAsia="仿宋_GB2312"/>
                <w:sz w:val="24"/>
                <w:color w:val="000000"/>
              </w:rPr>
              <w:t>提供至少三名实施人员进行筛选。</w:t>
            </w:r>
          </w:p>
          <w:p>
            <w:pPr>
              <w:pStyle w:val="null3"/>
              <w:ind w:firstLine="560"/>
              <w:jc w:val="both"/>
            </w:pPr>
            <w:r>
              <w:rPr>
                <w:rFonts w:ascii="仿宋_GB2312" w:hAnsi="仿宋_GB2312" w:cs="仿宋_GB2312" w:eastAsia="仿宋_GB2312"/>
                <w:sz w:val="24"/>
                <w:color w:val="000000"/>
              </w:rPr>
              <w:t>2）运维人员属运维管理，项目实施需单独派人。如出现人员共用，院方有权利按照项目合同内容约定进行扣除。</w:t>
            </w:r>
          </w:p>
          <w:p>
            <w:pPr>
              <w:pStyle w:val="null3"/>
              <w:ind w:firstLine="560"/>
              <w:jc w:val="both"/>
            </w:pPr>
            <w:r>
              <w:rPr>
                <w:rFonts w:ascii="仿宋_GB2312" w:hAnsi="仿宋_GB2312" w:cs="仿宋_GB2312" w:eastAsia="仿宋_GB2312"/>
                <w:sz w:val="24"/>
                <w:color w:val="000000"/>
              </w:rPr>
              <w:t>3）每周提交工作周报。未经院方授权，不得从事其他医院工作。</w:t>
            </w:r>
          </w:p>
          <w:p>
            <w:pPr>
              <w:pStyle w:val="null3"/>
              <w:ind w:firstLine="560"/>
              <w:jc w:val="both"/>
            </w:pPr>
            <w:r>
              <w:rPr>
                <w:rFonts w:ascii="仿宋_GB2312" w:hAnsi="仿宋_GB2312" w:cs="仿宋_GB2312" w:eastAsia="仿宋_GB2312"/>
                <w:sz w:val="24"/>
                <w:color w:val="000000"/>
              </w:rPr>
              <w:t>4）院方按季度进行考核，如出现重大失误或无法满足院方工作要求，院方有权要求服务商更换人员。</w:t>
            </w:r>
          </w:p>
          <w:p>
            <w:pPr>
              <w:pStyle w:val="null3"/>
              <w:ind w:firstLine="560"/>
              <w:jc w:val="both"/>
            </w:pPr>
            <w:r>
              <w:rPr>
                <w:rFonts w:ascii="仿宋_GB2312" w:hAnsi="仿宋_GB2312" w:cs="仿宋_GB2312" w:eastAsia="仿宋_GB2312"/>
                <w:sz w:val="24"/>
                <w:color w:val="000000"/>
              </w:rPr>
              <w:t>5）驻场服务人员由院方统一管理，管理内容包括：日常上下班时间、驻场期间工作纪律。驻场服务人员不得无故旷工，有特殊事项需向信息科请假报备，提供接替人员，做好交接。否则视为无故旷工，参照医院考勤相关规定处理。</w:t>
            </w:r>
          </w:p>
          <w:p>
            <w:pPr>
              <w:pStyle w:val="null3"/>
              <w:ind w:firstLine="560"/>
              <w:jc w:val="both"/>
            </w:pPr>
            <w:r>
              <w:rPr>
                <w:rFonts w:ascii="仿宋_GB2312" w:hAnsi="仿宋_GB2312" w:cs="仿宋_GB2312" w:eastAsia="仿宋_GB2312"/>
                <w:sz w:val="24"/>
                <w:color w:val="000000"/>
              </w:rPr>
              <w:t>6）驻场工程师作为驻点人员，负责院方信息系统需求收集整理，并负责沟通协调处理。</w:t>
            </w:r>
          </w:p>
          <w:p>
            <w:pPr>
              <w:pStyle w:val="null3"/>
              <w:ind w:firstLine="560"/>
              <w:jc w:val="both"/>
            </w:pPr>
            <w:r>
              <w:rPr>
                <w:rFonts w:ascii="仿宋_GB2312" w:hAnsi="仿宋_GB2312" w:cs="仿宋_GB2312" w:eastAsia="仿宋_GB2312"/>
                <w:sz w:val="24"/>
                <w:color w:val="000000"/>
              </w:rPr>
              <w:t>7）若遇到驻场人员无法解决的疑难问题，需第一时间告知院方，并负责协调服务商人员予以处理。</w:t>
            </w:r>
          </w:p>
          <w:p>
            <w:pPr>
              <w:pStyle w:val="null3"/>
              <w:jc w:val="both"/>
            </w:pPr>
            <w:r>
              <w:rPr>
                <w:rFonts w:ascii="仿宋_GB2312" w:hAnsi="仿宋_GB2312" w:cs="仿宋_GB2312" w:eastAsia="仿宋_GB2312"/>
                <w:sz w:val="24"/>
                <w:b/>
                <w:color w:val="000000"/>
              </w:rPr>
              <w:t>五、驻场工程师考核</w:t>
            </w:r>
          </w:p>
          <w:tbl>
            <w:tblPr>
              <w:tblInd w:type="dxa" w:w="120"/>
              <w:tblBorders>
                <w:top w:val="none" w:color="000000" w:sz="4"/>
                <w:left w:val="none" w:color="000000" w:sz="4"/>
                <w:bottom w:val="none" w:color="000000" w:sz="4"/>
                <w:right w:val="none" w:color="000000" w:sz="4"/>
                <w:insideH w:val="none"/>
                <w:insideV w:val="none"/>
              </w:tblBorders>
            </w:tblPr>
            <w:tblGrid>
              <w:gridCol w:w="438"/>
              <w:gridCol w:w="688"/>
              <w:gridCol w:w="989"/>
              <w:gridCol w:w="438"/>
            </w:tblGrid>
            <w:tr>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考核项目</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r>
                    <w:rPr>
                      <w:rFonts w:ascii="仿宋_GB2312" w:hAnsi="仿宋_GB2312" w:cs="仿宋_GB2312" w:eastAsia="仿宋_GB2312"/>
                      <w:sz w:val="24"/>
                      <w:color w:val="000000"/>
                    </w:rPr>
                    <w:t>考核准则</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扣分</w:t>
                  </w:r>
                </w:p>
              </w:tc>
            </w:tr>
            <w:tr>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服务态度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违反医院管理规定</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一次扣</w:t>
                  </w:r>
                  <w:r>
                    <w:rPr>
                      <w:rFonts w:ascii="仿宋_GB2312" w:hAnsi="仿宋_GB2312" w:cs="仿宋_GB2312" w:eastAsia="仿宋_GB2312"/>
                      <w:sz w:val="24"/>
                      <w:color w:val="000000"/>
                    </w:rPr>
                    <w:t>1分。</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8"/>
                  <w:vMerge/>
                  <w:tcBorders>
                    <w:top w:val="none" w:color="000000" w:sz="4"/>
                    <w:left w:val="single" w:color="000000" w:sz="4"/>
                    <w:bottom w:val="single" w:color="000000" w:sz="4"/>
                    <w:right w:val="single" w:color="000000" w:sz="4"/>
                  </w:tcBorders>
                </w:tcP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接到故障报修电话响应情况</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10分钟内响应，超过30分钟扣0.5分（以此累计）。</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438"/>
                  <w:vMerge/>
                  <w:tcBorders>
                    <w:top w:val="none" w:color="000000" w:sz="4"/>
                    <w:left w:val="single" w:color="000000" w:sz="4"/>
                    <w:bottom w:val="single" w:color="000000" w:sz="4"/>
                    <w:right w:val="single" w:color="000000" w:sz="4"/>
                  </w:tcBorders>
                </w:tcP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培训院方人员反馈情况</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培训结果反馈中职能管理科室对培训结果不满意或准备内容不充分的，一次扣</w:t>
                  </w:r>
                  <w:r>
                    <w:rPr>
                      <w:rFonts w:ascii="仿宋_GB2312" w:hAnsi="仿宋_GB2312" w:cs="仿宋_GB2312" w:eastAsia="仿宋_GB2312"/>
                      <w:sz w:val="24"/>
                      <w:color w:val="000000"/>
                    </w:rPr>
                    <w:t>1分。</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438"/>
                  <w:vMerge/>
                  <w:tcBorders>
                    <w:top w:val="none" w:color="000000" w:sz="4"/>
                    <w:left w:val="single" w:color="000000" w:sz="4"/>
                    <w:bottom w:val="single" w:color="000000" w:sz="4"/>
                    <w:right w:val="single" w:color="000000" w:sz="4"/>
                  </w:tcBorders>
                </w:tcP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对于周期性服务内容，如：每月巡检、每季优化等</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未能在周期内完成的（含提供结果报告）一次扣</w:t>
                  </w:r>
                  <w:r>
                    <w:rPr>
                      <w:rFonts w:ascii="仿宋_GB2312" w:hAnsi="仿宋_GB2312" w:cs="仿宋_GB2312" w:eastAsia="仿宋_GB2312"/>
                      <w:sz w:val="24"/>
                      <w:color w:val="000000"/>
                    </w:rPr>
                    <w:t>5分。</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服务能力</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排除故障效率</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没有按照承诺时间排除故障，超出</w:t>
                  </w:r>
                  <w:r>
                    <w:rPr>
                      <w:rFonts w:ascii="仿宋_GB2312" w:hAnsi="仿宋_GB2312" w:cs="仿宋_GB2312" w:eastAsia="仿宋_GB2312"/>
                      <w:sz w:val="24"/>
                      <w:color w:val="000000"/>
                    </w:rPr>
                    <w:t>30分钟内扣0.5分（以此累计）。</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438"/>
                  <w:vMerge/>
                  <w:tcBorders>
                    <w:top w:val="none" w:color="000000" w:sz="4"/>
                    <w:left w:val="single" w:color="000000" w:sz="4"/>
                    <w:bottom w:val="single" w:color="000000" w:sz="4"/>
                    <w:right w:val="single" w:color="000000" w:sz="4"/>
                  </w:tcBorders>
                </w:tcP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报表编制或修改</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接到院方需求后，未在承诺时间内完成，超出</w:t>
                  </w:r>
                  <w:r>
                    <w:rPr>
                      <w:rFonts w:ascii="仿宋_GB2312" w:hAnsi="仿宋_GB2312" w:cs="仿宋_GB2312" w:eastAsia="仿宋_GB2312"/>
                      <w:sz w:val="24"/>
                      <w:color w:val="000000"/>
                    </w:rPr>
                    <w:t>2小时扣1分，以此累计。</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438"/>
                  <w:vMerge/>
                  <w:tcBorders>
                    <w:top w:val="none" w:color="000000" w:sz="4"/>
                    <w:left w:val="single" w:color="000000" w:sz="4"/>
                    <w:bottom w:val="single" w:color="000000" w:sz="4"/>
                    <w:right w:val="single" w:color="000000" w:sz="4"/>
                  </w:tcBorders>
                </w:tcP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接口完成情况</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接口未能及时完成导致正常业务的开展，拖延一天扣</w:t>
                  </w:r>
                  <w:r>
                    <w:rPr>
                      <w:rFonts w:ascii="仿宋_GB2312" w:hAnsi="仿宋_GB2312" w:cs="仿宋_GB2312" w:eastAsia="仿宋_GB2312"/>
                      <w:sz w:val="24"/>
                      <w:color w:val="000000"/>
                    </w:rPr>
                    <w:t>5分。以此累计。</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438"/>
                  <w:vMerge/>
                  <w:tcBorders>
                    <w:top w:val="none" w:color="000000" w:sz="4"/>
                    <w:left w:val="single" w:color="000000" w:sz="4"/>
                    <w:bottom w:val="single" w:color="000000" w:sz="4"/>
                    <w:right w:val="single" w:color="000000" w:sz="4"/>
                  </w:tcBorders>
                </w:tcP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报表完成情况</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报表未能及时完成拖延一天扣</w:t>
                  </w:r>
                  <w:r>
                    <w:rPr>
                      <w:rFonts w:ascii="仿宋_GB2312" w:hAnsi="仿宋_GB2312" w:cs="仿宋_GB2312" w:eastAsia="仿宋_GB2312"/>
                      <w:sz w:val="24"/>
                      <w:color w:val="000000"/>
                    </w:rPr>
                    <w:t>2分。以此累计。</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服务质量</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接口报表准确性</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因报表编制导致的数据错误，未造成严重后果的，一个报表扣</w:t>
                  </w:r>
                  <w:r>
                    <w:rPr>
                      <w:rFonts w:ascii="仿宋_GB2312" w:hAnsi="仿宋_GB2312" w:cs="仿宋_GB2312" w:eastAsia="仿宋_GB2312"/>
                      <w:sz w:val="24"/>
                      <w:color w:val="000000"/>
                    </w:rPr>
                    <w:t>10分。</w:t>
                  </w:r>
                </w:p>
                <w:p>
                  <w:pPr>
                    <w:pStyle w:val="null3"/>
                    <w:jc w:val="center"/>
                  </w:pPr>
                  <w:r>
                    <w:rPr>
                      <w:rFonts w:ascii="仿宋_GB2312" w:hAnsi="仿宋_GB2312" w:cs="仿宋_GB2312" w:eastAsia="仿宋_GB2312"/>
                      <w:sz w:val="24"/>
                      <w:color w:val="000000"/>
                    </w:rPr>
                    <w:t>造成严重后果的，视情节严重程度，一次扣</w:t>
                  </w:r>
                  <w:r>
                    <w:rPr>
                      <w:rFonts w:ascii="仿宋_GB2312" w:hAnsi="仿宋_GB2312" w:cs="仿宋_GB2312" w:eastAsia="仿宋_GB2312"/>
                      <w:sz w:val="24"/>
                      <w:color w:val="000000"/>
                    </w:rPr>
                    <w:t>50分起，上不封底。</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438"/>
                  <w:vMerge/>
                  <w:tcBorders>
                    <w:top w:val="none" w:color="000000" w:sz="4"/>
                    <w:left w:val="single" w:color="000000" w:sz="4"/>
                    <w:bottom w:val="single" w:color="000000" w:sz="4"/>
                    <w:right w:val="single" w:color="000000" w:sz="4"/>
                  </w:tcBorders>
                </w:tcP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巡检、测评、优化情况</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出具的报告若有第三方人员质疑并被核实，一次扣</w:t>
                  </w:r>
                  <w:r>
                    <w:rPr>
                      <w:rFonts w:ascii="仿宋_GB2312" w:hAnsi="仿宋_GB2312" w:cs="仿宋_GB2312" w:eastAsia="仿宋_GB2312"/>
                      <w:sz w:val="24"/>
                      <w:color w:val="000000"/>
                    </w:rPr>
                    <w:t>100分起，上不封底。</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438"/>
                  <w:vMerge/>
                  <w:tcBorders>
                    <w:top w:val="none" w:color="000000" w:sz="4"/>
                    <w:left w:val="single" w:color="000000" w:sz="4"/>
                    <w:bottom w:val="single" w:color="000000" w:sz="4"/>
                    <w:right w:val="single" w:color="000000" w:sz="4"/>
                  </w:tcBorders>
                </w:tcP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系统服务中断、服务器宕机、数据库死锁</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超过响应次数，一次扣</w:t>
                  </w:r>
                  <w:r>
                    <w:rPr>
                      <w:rFonts w:ascii="仿宋_GB2312" w:hAnsi="仿宋_GB2312" w:cs="仿宋_GB2312" w:eastAsia="仿宋_GB2312"/>
                      <w:sz w:val="24"/>
                      <w:color w:val="000000"/>
                    </w:rPr>
                    <w:t>100分。</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bl>
          <w:p>
            <w:pPr>
              <w:pStyle w:val="null3"/>
              <w:jc w:val="both"/>
            </w:pPr>
            <w:r>
              <w:rPr>
                <w:rFonts w:ascii="仿宋_GB2312" w:hAnsi="仿宋_GB2312" w:cs="仿宋_GB2312" w:eastAsia="仿宋_GB2312"/>
                <w:sz w:val="24"/>
                <w:color w:val="000000"/>
              </w:rPr>
              <w:t>注：该表每月填写一次，维保期满后，累计超过</w:t>
            </w:r>
            <w:r>
              <w:rPr>
                <w:rFonts w:ascii="仿宋_GB2312" w:hAnsi="仿宋_GB2312" w:cs="仿宋_GB2312" w:eastAsia="仿宋_GB2312"/>
                <w:sz w:val="24"/>
                <w:color w:val="000000"/>
              </w:rPr>
              <w:t>20分，按照每分100元计，超过40分，按照每分500元计，超过50分，按照每分1000元计，维保期满后，从合同剩余款项中直接扣除。</w:t>
            </w:r>
          </w:p>
          <w:p>
            <w:pPr>
              <w:pStyle w:val="null3"/>
              <w:jc w:val="both"/>
            </w:pPr>
            <w:r>
              <w:rPr>
                <w:rFonts w:ascii="仿宋_GB2312" w:hAnsi="仿宋_GB2312" w:cs="仿宋_GB2312" w:eastAsia="仿宋_GB2312"/>
                <w:sz w:val="24"/>
                <w:b/>
                <w:color w:val="000000"/>
              </w:rPr>
              <w:t>六、项目预算</w:t>
            </w:r>
          </w:p>
          <w:p>
            <w:pPr>
              <w:pStyle w:val="null3"/>
              <w:ind w:firstLine="560"/>
              <w:jc w:val="both"/>
            </w:pPr>
            <w:r>
              <w:rPr>
                <w:rFonts w:ascii="仿宋_GB2312" w:hAnsi="仿宋_GB2312" w:cs="仿宋_GB2312" w:eastAsia="仿宋_GB2312"/>
                <w:sz w:val="24"/>
                <w:color w:val="000000"/>
              </w:rPr>
              <w:t>项目预算</w:t>
            </w:r>
            <w:r>
              <w:rPr>
                <w:rFonts w:ascii="仿宋_GB2312" w:hAnsi="仿宋_GB2312" w:cs="仿宋_GB2312" w:eastAsia="仿宋_GB2312"/>
                <w:sz w:val="24"/>
                <w:color w:val="000000"/>
              </w:rPr>
              <w:t>90万元（其中系统维保费用预算50万元，政策性接口包服务预算40万元，按照实际工作量据实结算）。</w:t>
            </w:r>
          </w:p>
          <w:p>
            <w:pPr>
              <w:pStyle w:val="null3"/>
              <w:ind w:firstLine="560"/>
              <w:jc w:val="both"/>
            </w:pPr>
            <w:r>
              <w:rPr>
                <w:rFonts w:ascii="仿宋_GB2312" w:hAnsi="仿宋_GB2312" w:cs="仿宋_GB2312" w:eastAsia="仿宋_GB2312"/>
                <w:sz w:val="24"/>
                <w:color w:val="000000"/>
              </w:rPr>
              <w:t>政策类接口服务改造价格评估要求：</w:t>
            </w:r>
          </w:p>
          <w:p>
            <w:pPr>
              <w:pStyle w:val="null3"/>
              <w:ind w:firstLine="560"/>
              <w:jc w:val="both"/>
            </w:pPr>
            <w:r>
              <w:rPr>
                <w:rFonts w:ascii="仿宋_GB2312" w:hAnsi="仿宋_GB2312" w:cs="仿宋_GB2312" w:eastAsia="仿宋_GB2312"/>
                <w:sz w:val="24"/>
                <w:color w:val="000000"/>
              </w:rPr>
              <w:t>（一）院方负责接口费市场调研（收集三家或以上同级别医院同类接口改造费用）；</w:t>
            </w:r>
          </w:p>
          <w:p>
            <w:pPr>
              <w:pStyle w:val="null3"/>
              <w:ind w:firstLine="560"/>
              <w:jc w:val="both"/>
            </w:pPr>
            <w:r>
              <w:rPr>
                <w:rFonts w:ascii="仿宋_GB2312" w:hAnsi="仿宋_GB2312" w:cs="仿宋_GB2312" w:eastAsia="仿宋_GB2312"/>
                <w:sz w:val="24"/>
                <w:color w:val="000000"/>
              </w:rPr>
              <w:t>（二）供应商负责提供接口改造价格评估清单具体包括</w:t>
            </w:r>
            <w:r>
              <w:rPr>
                <w:rFonts w:ascii="仿宋_GB2312" w:hAnsi="仿宋_GB2312" w:cs="仿宋_GB2312" w:eastAsia="仿宋_GB2312"/>
                <w:sz w:val="24"/>
                <w:color w:val="000000"/>
              </w:rPr>
              <w:t>①按照软件开发功能点法测算费用清单，②按照人力成本评估法测算费用清单，两者费用需要保持一致。</w:t>
            </w:r>
          </w:p>
          <w:p>
            <w:pPr>
              <w:pStyle w:val="null3"/>
              <w:ind w:firstLine="560"/>
              <w:jc w:val="both"/>
            </w:pPr>
            <w:r>
              <w:rPr>
                <w:rFonts w:ascii="仿宋_GB2312" w:hAnsi="仿宋_GB2312" w:cs="仿宋_GB2312" w:eastAsia="仿宋_GB2312"/>
                <w:sz w:val="24"/>
                <w:color w:val="000000"/>
              </w:rPr>
              <w:t>（三）双方根据调研和评估结果共同商定最终价格，原则上价格不应超过市场调研的最低价格。确有超出市场最低价格情况需要供应商进一步补充详实证明并经医院办公会确认方可按照此价格执行。</w:t>
            </w:r>
          </w:p>
          <w:p>
            <w:pPr>
              <w:pStyle w:val="null3"/>
              <w:ind w:firstLine="560"/>
              <w:jc w:val="both"/>
            </w:pPr>
            <w:r>
              <w:rPr>
                <w:rFonts w:ascii="仿宋_GB2312" w:hAnsi="仿宋_GB2312" w:cs="仿宋_GB2312" w:eastAsia="仿宋_GB2312"/>
                <w:sz w:val="24"/>
                <w:b/>
                <w:color w:val="000000"/>
              </w:rPr>
              <w:t>（四）本项目报价形式为：系统维保费用（各公司按照自身情况据实报价）</w:t>
            </w:r>
            <w:r>
              <w:rPr>
                <w:rFonts w:ascii="仿宋_GB2312" w:hAnsi="仿宋_GB2312" w:cs="仿宋_GB2312" w:eastAsia="仿宋_GB2312"/>
                <w:sz w:val="24"/>
                <w:b/>
                <w:color w:val="000000"/>
              </w:rPr>
              <w:t>+40万</w:t>
            </w:r>
            <w:r>
              <w:rPr>
                <w:rFonts w:ascii="仿宋_GB2312" w:hAnsi="仿宋_GB2312" w:cs="仿宋_GB2312" w:eastAsia="仿宋_GB2312"/>
                <w:sz w:val="24"/>
                <w:b/>
                <w:color w:val="000000"/>
              </w:rPr>
              <w:t>元</w:t>
            </w:r>
            <w:r>
              <w:rPr>
                <w:rFonts w:ascii="仿宋_GB2312" w:hAnsi="仿宋_GB2312" w:cs="仿宋_GB2312" w:eastAsia="仿宋_GB2312"/>
                <w:sz w:val="24"/>
                <w:b/>
                <w:color w:val="000000"/>
              </w:rPr>
              <w:t>（此部分报价金额不变，后期按照实际工作量据实结算）。</w:t>
            </w:r>
          </w:p>
          <w:p>
            <w:pPr>
              <w:pStyle w:val="null3"/>
              <w:jc w:val="both"/>
            </w:pPr>
            <w:r>
              <w:rPr>
                <w:rFonts w:ascii="仿宋_GB2312" w:hAnsi="仿宋_GB2312" w:cs="仿宋_GB2312" w:eastAsia="仿宋_GB2312"/>
                <w:sz w:val="24"/>
                <w:b/>
                <w:color w:val="000000"/>
              </w:rPr>
              <w:t>七、服务期</w:t>
            </w:r>
          </w:p>
          <w:p>
            <w:pPr>
              <w:pStyle w:val="null3"/>
              <w:ind w:firstLine="560"/>
              <w:jc w:val="left"/>
            </w:pPr>
            <w:r>
              <w:rPr>
                <w:rFonts w:ascii="仿宋_GB2312" w:hAnsi="仿宋_GB2312" w:cs="仿宋_GB2312" w:eastAsia="仿宋_GB2312"/>
                <w:sz w:val="24"/>
                <w:color w:val="000000"/>
              </w:rPr>
              <w:t>服务期：自合同签订之日起</w:t>
            </w:r>
            <w:r>
              <w:rPr>
                <w:rFonts w:ascii="仿宋_GB2312" w:hAnsi="仿宋_GB2312" w:cs="仿宋_GB2312" w:eastAsia="仿宋_GB2312"/>
                <w:sz w:val="24"/>
                <w:color w:val="000000"/>
              </w:rPr>
              <w:t>1年。服务期满后，顺利通过验收且双方无异议后可进行续约，最长不超过两年。</w:t>
            </w:r>
          </w:p>
          <w:p>
            <w:pPr>
              <w:pStyle w:val="null3"/>
              <w:ind w:firstLine="560"/>
              <w:jc w:val="left"/>
            </w:pPr>
            <w:r>
              <w:rPr>
                <w:rFonts w:ascii="仿宋_GB2312" w:hAnsi="仿宋_GB2312" w:cs="仿宋_GB2312" w:eastAsia="仿宋_GB2312"/>
                <w:sz w:val="24"/>
                <w:color w:val="000000"/>
              </w:rPr>
              <w:t>付款条件：</w:t>
            </w:r>
            <w:r>
              <w:rPr>
                <w:rFonts w:ascii="仿宋_GB2312" w:hAnsi="仿宋_GB2312" w:cs="仿宋_GB2312" w:eastAsia="仿宋_GB2312"/>
                <w:sz w:val="24"/>
                <w:color w:val="000000"/>
              </w:rPr>
              <w:t>见合同模板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自合同签订之日起1年。服务期满后，顺利通过验收且双方无异议后可进行续约，最长不超过两年。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合同签定后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因政府采购系统设置局限性，本项目实际支付结算方式以拟签订采购合同文本为准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1、供应商提供合法注册的法人或其他组织的营业执照等证明文件，自然人的身份证明； 2、供应商提供依法缴纳税收和社会保障资金的证明材料复印件； 3、供应商提供具备履行合同所必需的设备和专业技术能力的承诺原件； 4、供应商提供参加政府采购活动前3年内在经营活动中没有重大违法记录的书面声明原件；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或者提供递交磋商响应文件截止时间前三个月内供应商基本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进入西安市卫健委各级系统“黑名单”的，不得参加磋商</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进入西安市卫健委各级系统“黑名单”的，不得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的，须提供本人身份证复印件加盖公章并出示身份证原件（法定代表人本人提供近三个月社保证明资料）；法定代表人授权他人参加的，须提供法定代表人委托授权书原件加盖公章，并出示被授权代表的身份证原件及复印件加盖公章（供应商授权代表本人提供近三个月社保证明资料）</w:t>
            </w:r>
          </w:p>
        </w:tc>
        <w:tc>
          <w:tcPr>
            <w:tcW w:type="dxa" w:w="3322"/>
          </w:tcPr>
          <w:p>
            <w:pPr>
              <w:pStyle w:val="null3"/>
            </w:pPr>
            <w:r>
              <w:rPr>
                <w:rFonts w:ascii="仿宋_GB2312" w:hAnsi="仿宋_GB2312" w:cs="仿宋_GB2312" w:eastAsia="仿宋_GB2312"/>
              </w:rPr>
              <w:t>法定代表人参加的，须提供本人身份证复印件加盖公章并出示身份证原件（法定代表人本人提供近三个月社保证明资料）；法定代表人授权他人参加的，须提供法定代表人委托授权书原件加盖公章，并出示被授权代表的身份证原件及复印件加盖公章（供应商授权代表本人提供近三个月社保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凡本院职工及其配偶、直系亲属投资开办或在相关企业担任高管、独立董事等有重大利益关系职务的相关供应商，不得参与磋商</w:t>
            </w:r>
          </w:p>
        </w:tc>
        <w:tc>
          <w:tcPr>
            <w:tcW w:type="dxa" w:w="3322"/>
          </w:tcPr>
          <w:p>
            <w:pPr>
              <w:pStyle w:val="null3"/>
            </w:pPr>
            <w:r>
              <w:rPr>
                <w:rFonts w:ascii="仿宋_GB2312" w:hAnsi="仿宋_GB2312" w:cs="仿宋_GB2312" w:eastAsia="仿宋_GB2312"/>
              </w:rPr>
              <w:t>凡本院职工及其配偶、直系亲属投资开办或在相关企业担任高管、独立董事等有重大利益关系职务的相关供应商，不得参与磋商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报价表--本项目报价形式为：系统维保费用（各公司按照自身情况据实报价）+40万元（此部分报价金额不变，后期按照实际工作量据实结算）。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服务内容及服务邀请应答表 中小企业声明函 残疾人福利性单位声明函 报价表--本项目报价形式为：系统维保费用（各公司按照自身情况据实报价）+40万元（此部分报价金额不变，后期按照实际工作量据实结算）。 商务应答表 服务方案 标的清单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报价表--本项目报价形式为：系统维保费用（各公司按照自身情况据实报价）+40万元（此部分报价金额不变，后期按照实际工作量据实结算）。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报价表--本项目报价形式为：系统维保费用（各公司按照自身情况据实报价）+40万元（此部分报价金额不变，后期按照实际工作量据实结算）。 商务应答表 服务方案 标的清单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采购需求响应</w:t>
            </w:r>
          </w:p>
        </w:tc>
        <w:tc>
          <w:tcPr>
            <w:tcW w:type="dxa" w:w="2492"/>
          </w:tcPr>
          <w:p>
            <w:pPr>
              <w:pStyle w:val="null3"/>
            </w:pPr>
            <w:r>
              <w:rPr>
                <w:rFonts w:ascii="仿宋_GB2312" w:hAnsi="仿宋_GB2312" w:cs="仿宋_GB2312" w:eastAsia="仿宋_GB2312"/>
              </w:rPr>
              <w:t>供应商针对本次磋商文件提供的维保服务范围和要求进行响应，完全满足或优于采购需求的，计22分；对采购需求有负偏离的，每项扣1分，扣完为止。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一、评审内容：供应商针对本项目的需求制定科学合理的整体服务方案，方案包含：①基本要求②特殊要求③其他要求 。 二、评审标准 ：1、完整性：方案须全面，对评审内容中的各项要求有详细描述及说明； 2、可实施性：切合本项目实际情况，实施步骤清晰、合理； 3、针对性：方案能够紧扣标段实际情况，内容科学合理。 三、赋分标准（满分9分） ①基本要求：每完全满足一个评审标准得1分，满分3分； ②特殊要求: 每完全满足一个评审标准得1分，满分3分； ③其他要求：每完全满足一个评审标准得1分，满分3分；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1、供应商具备健全的服务团队，能保证服务质量及服务的及时性。从拟投入人员的搭配合理度、技术能力等多方面综合评审，需提供人员、岗位名单。 （1)人员配备合理、技术能力强，得6分； （2)人员配备比较合理、技术能力较强，得4分； （3)人员配备单一、技术能力较弱，得2分； （4)人员配备混乱、技术能力弱，得0分。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服务团队证书</w:t>
            </w:r>
          </w:p>
        </w:tc>
        <w:tc>
          <w:tcPr>
            <w:tcW w:type="dxa" w:w="2492"/>
          </w:tcPr>
          <w:p>
            <w:pPr>
              <w:pStyle w:val="null3"/>
            </w:pPr>
            <w:r>
              <w:rPr>
                <w:rFonts w:ascii="仿宋_GB2312" w:hAnsi="仿宋_GB2312" w:cs="仿宋_GB2312" w:eastAsia="仿宋_GB2312"/>
              </w:rPr>
              <w:t>1、为满足维保需求，需提供技术人员进行技术服务，达到8人及以上得5分，4-7人得3分，3人及以下得1分； 2、项目组团队配备1名项目经理具备信息系统项目管理师，得2分； 3、项目组成员具备信息系统项目管理师等相关资格证书，提供证书复印件，每提供1份得1分，满分3分。 （提供2025年在本单位缴纳的任意1个月内的社保证明）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驻场服务保障方案</w:t>
            </w:r>
          </w:p>
        </w:tc>
        <w:tc>
          <w:tcPr>
            <w:tcW w:type="dxa" w:w="2492"/>
          </w:tcPr>
          <w:p>
            <w:pPr>
              <w:pStyle w:val="null3"/>
            </w:pPr>
            <w:r>
              <w:rPr>
                <w:rFonts w:ascii="仿宋_GB2312" w:hAnsi="仿宋_GB2312" w:cs="仿宋_GB2312" w:eastAsia="仿宋_GB2312"/>
              </w:rPr>
              <w:t>一、评审内容：供应商针对本项目提出具体的驻场服务保障方案，需体现明确的项目驻场人员的考勤管理、工作满意度评分表、工作守则等制度。方案包含：①基本要求②特殊要求③其他要求 。 二、评审标准 ：1、完整性：方案须全面，对评审内容中的各项要求有详细描述及说明； 2、可实施性：切合本项目实际情况，实施步骤清晰、合理； 3、针对性：方案能够紧扣标段实际情况，内容科学合理。 三、赋分标准（满分9分） ①基本要求：每完全满足一个评审标准得1分，满分3分； ②特殊要求: 每完全满足一个评审标准得1分，满分3分； ③其他要求：每完全满足一个评审标准得1分，满分3分；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一、评审内容：供应商针对本项目应提供应急方案，内容包括但不限于应急突发状况处置措施和故障时反应机制等。方案包含：①基本要求②特殊要求③其他要求 。 二、评审标准 ：1、完整性：方案须全面，对评审内容中的各项要求有详细描述及说明； 2、可实施性：切合本项目实际情况，实施步骤清晰、合理； 3、针对性：方案能够紧扣标段实际情况，内容科学合理。 三、赋分标准（满分9分） ①基本要求：每完全满足一个评审标准得1分，满分3分； ②特殊要求: 每完全满足一个评审标准得1分，满分3分； ③其他要求：每完全满足一个评审标准得1分，满分3分；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2023年1月至今的同类项目业绩，每提供一个业绩得2分， 最多得10 分。业绩以甲乙双方签订的服务合同为依据，内容不符或时间不符或未提供的不得分。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一、评审内容：供应商根据本项目的需求及要求，进行相关培训，并提供具体的培训方案，内容包括但不限于：培训人员、培训时长，培训次数，培训方式等。方案包含：①基本要求②特殊要求③其他要求 。 二、评审标准 ：1、完整性：方案须全面，对评审内容中的各项要求有详细描述及说明； 2、可实施性：切合本项目实际情况，实施步骤清晰、合理； 3、针对性：方案能够紧扣标段实际情况，内容科学合理。 三、赋分标准（满分9分） ①基本要求：每完全满足一个评审标准得1分，满分3分； ②特殊要求: 每完全满足一个评审标准得1分，满分3分； ③其他要求：每完全满足一个评审标准得1分，满分3分；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投标人针对本项目具有合理化建议，建议包含：①分析本项目实施过程中潜在的风险②本项目执行过程中更有利于采购人的实施方案 . 二、评审标准 1、完整性：方案须全面，对评审内容中的各项要求有详细描述及说明； 2、可实施性：切合本项目实际情况，实施步骤清晰、合理； 3、针对性：方案能够紧扣标段实际情况，内容科学合理。 三、赋分标准（满分6分） ①风险评估：每完全满足一个评审标准得1分，满分3分； ②方案优化: 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价格分统一采用低价优先法计算，即满足招标文件要求且投标报价最低的报价为评标基准价，其价格分为满分。其他投标人的价格分统一按照下列公式计算： 报价得分=(评标基准价／投标报价)×价格权值×100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报价表--本项目报价形式为：系统维保费用（各公司按照自身情况据实报价）+40万元（此部分报价金额不变，后期按照实际工作量据实结算）。</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报价表--本项目报价形式为：系统维保费用（各公司按照自身情况据实报价）+40万元（此部分报价金额不变，后期按照实际工作量据实结算）。</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详见附件：报价表--本项目报价形式为：系统维保费用（各公司按照自身情况据实报价）+40万元（此部分报价金额不变，后期按照实际工作量据实结算）。</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