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版本号：ZY2026-ZB-CS101420260130001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2026年“西安文旅”抖音、视频号精品内容创作与传播提升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ZY2026-ZB-CS1014</w:t>
      </w:r>
      <w:r>
        <w:br/>
      </w:r>
      <w:r>
        <w:br/>
      </w:r>
      <w:r>
        <w:br/>
      </w:r>
    </w:p>
    <w:p>
      <w:pPr>
        <w:pStyle w:val="null3"/>
        <w:jc w:val="center"/>
        <w:outlineLvl w:val="2"/>
      </w:pPr>
      <w:r>
        <w:rPr>
          <w:rFonts w:ascii="仿宋_GB2312" w:hAnsi="仿宋_GB2312" w:cs="仿宋_GB2312" w:eastAsia="仿宋_GB2312"/>
          <w:sz w:val="28"/>
          <w:b/>
        </w:rPr>
        <w:t>西安市旅游信息咨询中心</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西安市旅游信息咨询中心</w:t>
      </w:r>
      <w:r>
        <w:rPr>
          <w:rFonts w:ascii="仿宋_GB2312" w:hAnsi="仿宋_GB2312" w:cs="仿宋_GB2312" w:eastAsia="仿宋_GB2312"/>
        </w:rPr>
        <w:t>委托，拟对</w:t>
      </w:r>
      <w:r>
        <w:rPr>
          <w:rFonts w:ascii="仿宋_GB2312" w:hAnsi="仿宋_GB2312" w:cs="仿宋_GB2312" w:eastAsia="仿宋_GB2312"/>
        </w:rPr>
        <w:t>2026年“西安文旅”抖音、视频号精品内容创作与传播提升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ZY2026-ZB-CS1014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2026年“西安文旅”抖音、视频号精品内容创作与传播提升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2026年“西安文旅”抖音、视频号精品内容创作与传播提升项目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采购包1（2026年“西安文旅”抖音、视频号精品内容创作与传播提升项目）：属于专门面向中小企业采购。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5、信用信息：未被列入信用中国网站(www.creditchina.gov.cn)“失信被执行人、重大税收违法失信主体”；不处于中国政府采购网(www.ccgp.gov.cn)“政府采购严重违法失信行为信息记录”中的禁止参加政府采购活动期间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6、具有履行本合同所必需的设备和专业技术能力的书面声明：具有履行本合同所必需的设备和专业技术能力：提供具有履行本合同所必需的设备和专业技术能力的书面声明；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7、参加本次政府采购活动前三年内在经营活动中没有重大违法记录的书面声明：参加本次政府采购活动前三年内在经营活动中没有重大违法记录：提供参加本次政府采购活动前三年内在经营活动中没有重大违法记录的书面声明；</w:t>
      </w:r>
    </w:p>
    <w:p>
      <w:pPr>
        <w:pStyle w:val="null3"/>
      </w:pPr>
      <w:r>
        <w:rPr>
          <w:rFonts w:ascii="仿宋_GB2312" w:hAnsi="仿宋_GB2312" w:cs="仿宋_GB2312" w:eastAsia="仿宋_GB2312"/>
        </w:rPr>
        <w:t>8、法定代表人授权书：法定代表人授权委托书、被授权人身份证（法定代表人参加磋商时,只需提供法定代表人身份证）；被授权人参加开标时，须提供开标前三个月内任意一个月的社保缴纳证明。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西安市旅游信息咨询中心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029-89623276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陕西省西安市经济技术开发区凤城五路123号秦创原·软科中心B座11层1101室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王甜甜、刘政、张晶、冯丹、刘英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029-86210100转604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和国家发改委颁发的《关于招标代理服务费收费有关问题的通知》（发改办价格〔2003〕857号）、《国家发展改革委关于降低部分建设项目收费标准规范收费行为等有关问题的通知》发改价格〔2011〕534号文件的规定执行，不足8000元按8000元收取。 招标代理服务费缴纳账户： 开户名称：陕西正翼项目管理咨询有限公司西安分公司 开户银行：中国光大银行股份有限公司西安经济技术开发区 支行账号：78680188000360910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西安市旅游信息咨询中心</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西安市旅游信息咨询中心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西安市旅游信息咨询中心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1.磋商文件、响应文件、澄清表（函）； 2.本合同及附件文本； 3.国家相应的标准、规范。12）履约验收其他事项：按采购人要求进行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联系电话：029-86210100转604</w:t>
      </w:r>
    </w:p>
    <w:p>
      <w:pPr>
        <w:pStyle w:val="null3"/>
      </w:pPr>
      <w:r>
        <w:rPr>
          <w:rFonts w:ascii="仿宋_GB2312" w:hAnsi="仿宋_GB2312" w:cs="仿宋_GB2312" w:eastAsia="仿宋_GB2312"/>
        </w:rPr>
        <w:t>地址：陕西省西安市经济技术开发区凤城五路123号秦创原·软科中心B座11层1101室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持续创新文旅传播方式，巩固并增强西安市作为世界级旅游目的地的网络影响力，西安文化旅游官方新媒体账号“西安文旅”已在抖音、视频号等平台搭建起运营基础。鉴于平台算法和用户偏好不断发展变化，为维持“西安文旅”的品牌优势，需运用“破局思维”创新内容生产与运营模式，达成从“短视频传播”到“强传播、深影响、高转化”的升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2026年西安文旅抖音视频号精品内容创作与传播提升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标的名称：2026年西安文旅抖音视频号精品内容创作与传播提升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shd w:fill="FFFFFF" w:val="clear"/>
              </w:rPr>
              <w:t>一、项目概况</w:t>
            </w:r>
          </w:p>
          <w:p>
            <w:pPr>
              <w:pStyle w:val="null3"/>
              <w:jc w:val="both"/>
            </w:pPr>
            <w:r>
              <w:rPr>
                <w:rFonts w:ascii="仿宋_GB2312" w:hAnsi="仿宋_GB2312" w:cs="仿宋_GB2312" w:eastAsia="仿宋_GB2312"/>
                <w:sz w:val="24"/>
                <w:shd w:fill="FFFFFF" w:val="clear"/>
              </w:rPr>
              <w:t>为持续创新文旅传播方式，巩固并增强西安市作为世界级旅游目的地的网络影响力，西安文化旅游官方新媒体账号</w:t>
            </w:r>
            <w:r>
              <w:rPr>
                <w:rFonts w:ascii="仿宋_GB2312" w:hAnsi="仿宋_GB2312" w:cs="仿宋_GB2312" w:eastAsia="仿宋_GB2312"/>
                <w:sz w:val="24"/>
                <w:shd w:fill="FFFFFF" w:val="clear"/>
              </w:rPr>
              <w:t>“西安文旅”已在抖音、视频号等平台搭建起运营基础。鉴于平台算法和用户偏好不断发展变化，为维持“西安文旅”的品牌优势，需运用“破局思维”创新内容生产与运营模式，达成从“短视频传播”到“强传播、深影响、高转化”的升级。</w:t>
            </w:r>
          </w:p>
          <w:p>
            <w:pPr>
              <w:pStyle w:val="null3"/>
              <w:jc w:val="both"/>
            </w:pPr>
            <w:r>
              <w:rPr>
                <w:rFonts w:ascii="仿宋_GB2312" w:hAnsi="仿宋_GB2312" w:cs="仿宋_GB2312" w:eastAsia="仿宋_GB2312"/>
                <w:sz w:val="24"/>
                <w:shd w:fill="FFFFFF" w:val="clear"/>
              </w:rPr>
              <w:t>项目目标如下：</w:t>
            </w:r>
          </w:p>
          <w:p>
            <w:pPr>
              <w:pStyle w:val="null3"/>
              <w:jc w:val="both"/>
            </w:pPr>
            <w:r>
              <w:rPr>
                <w:rFonts w:ascii="仿宋_GB2312" w:hAnsi="仿宋_GB2312" w:cs="仿宋_GB2312" w:eastAsia="仿宋_GB2312"/>
                <w:sz w:val="24"/>
                <w:shd w:fill="FFFFFF" w:val="clear"/>
              </w:rPr>
              <w:t>1. 提高“西安文旅”抖音、视频号账号的粉丝总量以及优质内容爆款率，助力打造全国文旅政务短视频的标杆账号。</w:t>
            </w:r>
          </w:p>
          <w:p>
            <w:pPr>
              <w:pStyle w:val="null3"/>
              <w:jc w:val="both"/>
            </w:pPr>
            <w:r>
              <w:rPr>
                <w:rFonts w:ascii="仿宋_GB2312" w:hAnsi="仿宋_GB2312" w:cs="仿宋_GB2312" w:eastAsia="仿宋_GB2312"/>
                <w:sz w:val="24"/>
                <w:shd w:fill="FFFFFF" w:val="clear"/>
              </w:rPr>
              <w:t>2. 打破同质化宣传，创作兼具文化深度、情感温度与网络热度的精品内容，系统性塑造“千年古都 常来长安”的现代化、多元化城市形象。</w:t>
            </w:r>
          </w:p>
          <w:p>
            <w:pPr>
              <w:pStyle w:val="null3"/>
              <w:jc w:val="both"/>
            </w:pPr>
            <w:r>
              <w:rPr>
                <w:rFonts w:ascii="仿宋_GB2312" w:hAnsi="仿宋_GB2312" w:cs="仿宋_GB2312" w:eastAsia="仿宋_GB2312"/>
                <w:sz w:val="24"/>
                <w:shd w:fill="FFFFFF" w:val="clear"/>
              </w:rPr>
              <w:t>3. 借助短视频的流量优势，推动线下文旅消费，为文旅产业注入活力。</w:t>
            </w:r>
          </w:p>
          <w:p>
            <w:pPr>
              <w:pStyle w:val="null3"/>
              <w:jc w:val="both"/>
            </w:pPr>
            <w:r>
              <w:rPr>
                <w:rFonts w:ascii="仿宋_GB2312" w:hAnsi="仿宋_GB2312" w:cs="仿宋_GB2312" w:eastAsia="仿宋_GB2312"/>
                <w:sz w:val="24"/>
                <w:shd w:fill="FFFFFF" w:val="clear"/>
              </w:rPr>
              <w:t>二、服务内容</w:t>
            </w:r>
          </w:p>
          <w:p>
            <w:pPr>
              <w:pStyle w:val="null3"/>
              <w:jc w:val="both"/>
            </w:pPr>
            <w:r>
              <w:rPr>
                <w:rFonts w:ascii="仿宋_GB2312" w:hAnsi="仿宋_GB2312" w:cs="仿宋_GB2312" w:eastAsia="仿宋_GB2312"/>
                <w:sz w:val="24"/>
                <w:shd w:fill="FFFFFF" w:val="clear"/>
              </w:rPr>
              <w:t>（一）视频策略与规划服务</w:t>
            </w:r>
          </w:p>
          <w:p>
            <w:pPr>
              <w:pStyle w:val="null3"/>
              <w:jc w:val="both"/>
            </w:pPr>
            <w:r>
              <w:rPr>
                <w:rFonts w:ascii="仿宋_GB2312" w:hAnsi="仿宋_GB2312" w:cs="仿宋_GB2312" w:eastAsia="仿宋_GB2312"/>
                <w:sz w:val="24"/>
                <w:shd w:fill="FFFFFF" w:val="clear"/>
              </w:rPr>
              <w:t>乙方须在合同生效后</w:t>
            </w:r>
            <w:r>
              <w:rPr>
                <w:rFonts w:ascii="仿宋_GB2312" w:hAnsi="仿宋_GB2312" w:cs="仿宋_GB2312" w:eastAsia="仿宋_GB2312"/>
                <w:sz w:val="24"/>
                <w:shd w:fill="FFFFFF" w:val="clear"/>
              </w:rPr>
              <w:t>15个工作日内，提交一份《2026年度“西安文旅”抖音、视频号运营提升策略与执行方案》。方案需基于对西安文旅资源的深度调研及平台趋势分析，明确全年传播主题、季度重点、月度排期及重大节庆（如春节、五一、国庆）和常规城市活动（如西安城市马拉松、丝绸之路国际电影节）的专项策划。策略上需主动契合平台热点机制，运用挑战赛、话题营销、信息流推广等手段，创作具有强视觉冲击力、易模仿传播的内容，旨在快速获取新用户、打造现象级爆款。</w:t>
            </w:r>
          </w:p>
          <w:p>
            <w:pPr>
              <w:pStyle w:val="null3"/>
              <w:jc w:val="both"/>
            </w:pPr>
            <w:r>
              <w:rPr>
                <w:rFonts w:ascii="仿宋_GB2312" w:hAnsi="仿宋_GB2312" w:cs="仿宋_GB2312" w:eastAsia="仿宋_GB2312"/>
                <w:sz w:val="24"/>
                <w:shd w:fill="FFFFFF" w:val="clear"/>
              </w:rPr>
              <w:t>（二）内容拍摄与制作服务</w:t>
            </w:r>
          </w:p>
          <w:p>
            <w:pPr>
              <w:pStyle w:val="null3"/>
              <w:jc w:val="both"/>
            </w:pPr>
            <w:r>
              <w:rPr>
                <w:rFonts w:ascii="仿宋_GB2312" w:hAnsi="仿宋_GB2312" w:cs="仿宋_GB2312" w:eastAsia="仿宋_GB2312"/>
                <w:sz w:val="24"/>
                <w:shd w:fill="FFFFFF" w:val="clear"/>
              </w:rPr>
              <w:t>乙方须保证全年为</w:t>
            </w:r>
            <w:r>
              <w:rPr>
                <w:rFonts w:ascii="仿宋_GB2312" w:hAnsi="仿宋_GB2312" w:cs="仿宋_GB2312" w:eastAsia="仿宋_GB2312"/>
                <w:sz w:val="24"/>
                <w:shd w:fill="FFFFFF" w:val="clear"/>
              </w:rPr>
              <w:t>“西安文旅”抖音及视频号官方账号策划、拍摄并制作发布不少于350条原创短视频。内容必须多元、立体，精准服务于文旅主责主业。所有内容创作须遵循“优秀传统文化现代表达、丰富旅游资源创意营销、城市综合形象文旅视角呈现”的原则，在展现西安“古老”与“年轻”双重魅力的同时，确保信息绝对准确、版权清晰。</w:t>
            </w:r>
          </w:p>
          <w:p>
            <w:pPr>
              <w:pStyle w:val="null3"/>
              <w:jc w:val="both"/>
            </w:pPr>
            <w:r>
              <w:rPr>
                <w:rFonts w:ascii="仿宋_GB2312" w:hAnsi="仿宋_GB2312" w:cs="仿宋_GB2312" w:eastAsia="仿宋_GB2312"/>
                <w:sz w:val="24"/>
                <w:shd w:fill="FFFFFF" w:val="clear"/>
              </w:rPr>
              <w:t>1.策划拍摄能提高西安城市形象的常态化文旅短视频。一是聚焦传承中华优秀传统文化，创新展现历史遗迹、文物珍宝、非遗技艺、典籍诗词背后的精神标识与文化精髓。二是聚焦文旅主责主业，为网友提供可转化的旅行灵感。除核心景区外，内容策划需扩展视野，系统性地关注并呈现以下提升城市综合吸引力的要素：文旅服务单元，包括高品质酒店、特色民宿、金牌餐厅等；公共文化空间，包括图书馆、美术馆、文化馆、剧院、特色书店等；城市保障体系，便利的公共交通（如地铁、旅游巴士）、旅游咨询服务、安全有序的旅游环境、及时的天气预警与出行提示等；发布旅游攻略、线路推荐、消费指南、文化惠民演出信息等，提升账号服务性。通过西安包容更新的城市面貌的有机呈现，塑造西安安全、便捷、友好、高效的国际化旅游目的地整体形象。三是密切关注西安文化旅游市场动态，拍摄并制作演艺演出、展览等相关文旅市场主体的活动内容，以短视频的形式呈现西安文旅市场的活力与多元性，助力相关市场主体提高曝光度，推动文旅消费转化。</w:t>
            </w:r>
          </w:p>
          <w:p>
            <w:pPr>
              <w:pStyle w:val="null3"/>
              <w:jc w:val="both"/>
            </w:pPr>
            <w:r>
              <w:rPr>
                <w:rFonts w:ascii="仿宋_GB2312" w:hAnsi="仿宋_GB2312" w:cs="仿宋_GB2312" w:eastAsia="仿宋_GB2312"/>
                <w:sz w:val="24"/>
                <w:shd w:fill="FFFFFF" w:val="clear"/>
              </w:rPr>
              <w:t>2. 乙方须建立7×24小时热点响应机制和常备快反采编团队，确保对两类热点做出快速反应。①计划性节假日热点（如清明、五一、国庆、春节）提前策划。节前两周提交专项拍摄与传播方案。节日期间，采编团队紧密联系景区、特色街区等文化旅游单位，采集人气场景、特色活动、服务保障、市民游客笑脸等鲜活素材，并发布剪辑制作相关主题短视频，传递节日热烈氛围，塑造西安文旅市场繁荣、管理有序的形象。②突发性文旅热点（例如“西安初雪”“西安地标与火箭同框”等网络热搜事件）。在热点发生后2小时内启动响应，制作紧扣热点的创意短视频（如“当长安遇上初雪”“星空下的古城”），挖掘其与西安文旅的独特关联，进行诗意化、视觉化表达，引爆社交传播。</w:t>
            </w:r>
          </w:p>
          <w:p>
            <w:pPr>
              <w:pStyle w:val="null3"/>
              <w:jc w:val="both"/>
            </w:pPr>
            <w:r>
              <w:rPr>
                <w:rFonts w:ascii="仿宋_GB2312" w:hAnsi="仿宋_GB2312" w:cs="仿宋_GB2312" w:eastAsia="仿宋_GB2312"/>
                <w:sz w:val="24"/>
                <w:shd w:fill="FFFFFF" w:val="clear"/>
              </w:rPr>
              <w:t>（三）数字化营销与流量助推服务</w:t>
            </w:r>
          </w:p>
          <w:p>
            <w:pPr>
              <w:pStyle w:val="null3"/>
              <w:jc w:val="both"/>
            </w:pPr>
            <w:r>
              <w:rPr>
                <w:rFonts w:ascii="仿宋_GB2312" w:hAnsi="仿宋_GB2312" w:cs="仿宋_GB2312" w:eastAsia="仿宋_GB2312"/>
                <w:sz w:val="24"/>
                <w:shd w:fill="FFFFFF" w:val="clear"/>
              </w:rPr>
              <w:t>依据内容策略和营销节点，制订科学的流量投放计划，精准扩大优质内容的曝光范围，提升触达目标人群的效率。推动优质原创内容进行联动传播，主动与媒体账号、其他政务新媒体账号对接，开展联动宣传。</w:t>
            </w:r>
          </w:p>
          <w:p>
            <w:pPr>
              <w:pStyle w:val="null3"/>
              <w:jc w:val="both"/>
            </w:pPr>
            <w:r>
              <w:rPr>
                <w:rFonts w:ascii="仿宋_GB2312" w:hAnsi="仿宋_GB2312" w:cs="仿宋_GB2312" w:eastAsia="仿宋_GB2312"/>
                <w:sz w:val="24"/>
                <w:shd w:fill="FFFFFF" w:val="clear"/>
              </w:rPr>
              <w:t>（四）数据分析与报告服务</w:t>
            </w:r>
          </w:p>
          <w:p>
            <w:pPr>
              <w:pStyle w:val="null3"/>
              <w:jc w:val="both"/>
            </w:pPr>
            <w:r>
              <w:rPr>
                <w:rFonts w:ascii="仿宋_GB2312" w:hAnsi="仿宋_GB2312" w:cs="仿宋_GB2312" w:eastAsia="仿宋_GB2312"/>
                <w:sz w:val="24"/>
                <w:shd w:fill="FFFFFF" w:val="clear"/>
              </w:rPr>
              <w:t>每月</w:t>
            </w:r>
            <w:r>
              <w:rPr>
                <w:rFonts w:ascii="仿宋_GB2312" w:hAnsi="仿宋_GB2312" w:cs="仿宋_GB2312" w:eastAsia="仿宋_GB2312"/>
                <w:sz w:val="24"/>
                <w:shd w:fill="FFFFFF" w:val="clear"/>
              </w:rPr>
              <w:t>10日前，向甲方提交上一月度《数据分析报告》。根据甲方提供的核心数据概览（播放量、完播率、点赞、评论、分享、粉丝净增等，对内容进行分析与复盘，根据数据开展问题诊断与优化建议，修改下阶段内容与传播计划。</w:t>
            </w:r>
          </w:p>
          <w:p>
            <w:pPr>
              <w:pStyle w:val="null3"/>
              <w:jc w:val="both"/>
            </w:pPr>
            <w:r>
              <w:rPr>
                <w:rFonts w:ascii="仿宋_GB2312" w:hAnsi="仿宋_GB2312" w:cs="仿宋_GB2312" w:eastAsia="仿宋_GB2312"/>
                <w:sz w:val="24"/>
                <w:shd w:fill="FFFFFF" w:val="clear"/>
              </w:rPr>
              <w:t>三、服务要求及业绩要求</w:t>
            </w:r>
          </w:p>
          <w:p>
            <w:pPr>
              <w:pStyle w:val="null3"/>
              <w:jc w:val="both"/>
            </w:pPr>
            <w:r>
              <w:rPr>
                <w:rFonts w:ascii="仿宋_GB2312" w:hAnsi="仿宋_GB2312" w:cs="仿宋_GB2312" w:eastAsia="仿宋_GB2312"/>
                <w:sz w:val="24"/>
                <w:shd w:fill="FFFFFF" w:val="clear"/>
              </w:rPr>
              <w:t>1. 视频质量要求。原创视频为4K高清，像素为3840×2160。普通编辑制作类视频像素不低于1920×1080。视频脚本计划、最终成片均须提交甲方审核，经甲方确认后方可进入下一环节或发布。</w:t>
            </w:r>
          </w:p>
          <w:p>
            <w:pPr>
              <w:pStyle w:val="null3"/>
              <w:jc w:val="both"/>
            </w:pPr>
            <w:r>
              <w:rPr>
                <w:rFonts w:ascii="仿宋_GB2312" w:hAnsi="仿宋_GB2312" w:cs="仿宋_GB2312" w:eastAsia="仿宋_GB2312"/>
                <w:sz w:val="24"/>
                <w:shd w:fill="FFFFFF" w:val="clear"/>
              </w:rPr>
              <w:t>2. 素材管理与版权要求。①所有产出内容必须建立在安全、合规的素材基础之上信息来源准确，视频内容涉及的历史年代、数据、人物、事件、引用的典籍、诗句等信息，必须援引权威资料（如官方史料、权威出版物、政府公报），并在脚本中标注信息来源。②所有产出内容素材版权明晰，原创采集拍摄产生的全部原始素材须永久留存备份，著作权及所有权归属于甲方，甲方有权对项目期间产生的各项原创内容进行二次加工及传播。严禁未经授权使用无版权素材。必须使用的第三方素材须由乙方负责解决版权授权并承担费用，并留存完整的授权协议备查。若项目期间及项目结束后三年内发生素材、图片、字体和视频的版权侵权由乙方负责处理并赔偿，若因此甲方被第三方起诉赔偿的，甲方有权向乙方追偿。</w:t>
            </w:r>
          </w:p>
          <w:p>
            <w:pPr>
              <w:pStyle w:val="null3"/>
              <w:jc w:val="both"/>
            </w:pPr>
            <w:r>
              <w:rPr>
                <w:rFonts w:ascii="仿宋_GB2312" w:hAnsi="仿宋_GB2312" w:cs="仿宋_GB2312" w:eastAsia="仿宋_GB2312"/>
                <w:sz w:val="24"/>
                <w:shd w:fill="FFFFFF" w:val="clear"/>
              </w:rPr>
              <w:t>3. 拍摄制作技术要求。画面构图精良，运镜流畅，色调符合内容调性；声音清晰，配乐、音效使用恰当，富有感染力；剪辑节奏张弛有度，叙事逻辑清晰。包装字幕、图形动画设计精良，风格统一，无错别字。</w:t>
            </w:r>
          </w:p>
          <w:p>
            <w:pPr>
              <w:pStyle w:val="null3"/>
              <w:jc w:val="both"/>
            </w:pPr>
            <w:r>
              <w:rPr>
                <w:rFonts w:ascii="仿宋_GB2312" w:hAnsi="仿宋_GB2312" w:cs="仿宋_GB2312" w:eastAsia="仿宋_GB2312"/>
                <w:sz w:val="24"/>
                <w:shd w:fill="FFFFFF" w:val="clear"/>
              </w:rPr>
              <w:t>4. 业绩要求。全年生产短视频不少于350条，其中纯原创视频（指从创意策划、脚本撰写到拍摄剪辑均为全新制作的视频）数量不得低于总产量的30%，即不少于105条。进入本地话题热榜（包括本地热榜）不少于10次，全年至少培育 25个爆款视频（单条短视频播放量超过10万+）。全年视频累计播放量不低于100万次。项目结束后，各主流新媒体平台话题总播放量增量不少于1个亿。 项目结束后，“西安文旅”抖音号粉丝增长量不低于20%，视频号粉丝增长量不低于50%。</w:t>
            </w:r>
          </w:p>
          <w:p>
            <w:pPr>
              <w:pStyle w:val="null3"/>
              <w:jc w:val="both"/>
            </w:pPr>
            <w:r>
              <w:rPr>
                <w:rFonts w:ascii="仿宋_GB2312" w:hAnsi="仿宋_GB2312" w:cs="仿宋_GB2312" w:eastAsia="仿宋_GB2312"/>
                <w:sz w:val="24"/>
                <w:shd w:fill="FFFFFF" w:val="clear"/>
              </w:rPr>
              <w:t>5. 账号运营要求。由甲方负责新媒体矩阵账号的运营管理工作，要求乙方安排专职人员对“西安文旅”视频号、“西安文旅”抖音号两个账号进行常态化的辅助运营和监管，共同确保账号安全稳定，建立24小时数据监测和应急响应机制，涉及账号安全和重大问题，应第一时间发现并协同处置。</w:t>
            </w:r>
          </w:p>
          <w:p>
            <w:pPr>
              <w:pStyle w:val="null3"/>
              <w:jc w:val="both"/>
            </w:pPr>
            <w:r>
              <w:rPr>
                <w:rFonts w:ascii="仿宋_GB2312" w:hAnsi="仿宋_GB2312" w:cs="仿宋_GB2312" w:eastAsia="仿宋_GB2312"/>
                <w:sz w:val="24"/>
                <w:shd w:fill="FFFFFF" w:val="clear"/>
              </w:rPr>
              <w:t>6. 成果交付要求。项目交付物须包括：①审核通过的所有视频成片。②所有原创拍摄内容的原始拍摄素材及不含任何字幕、图形动画的净版视频。所有交付物须分类存储，并定期提交甲方归档，以网络云盘和移动硬盘储存双重交付。项目结案报告，  内容涵盖项目实施期间的过程性资料截图以及数据印证资料。</w:t>
            </w:r>
          </w:p>
          <w:p>
            <w:pPr>
              <w:pStyle w:val="null3"/>
              <w:jc w:val="both"/>
            </w:pPr>
            <w:r>
              <w:rPr>
                <w:rFonts w:ascii="仿宋_GB2312" w:hAnsi="仿宋_GB2312" w:cs="仿宋_GB2312" w:eastAsia="仿宋_GB2312"/>
                <w:sz w:val="24"/>
                <w:shd w:fill="FFFFFF" w:val="clear"/>
              </w:rPr>
              <w:t>三、</w:t>
            </w:r>
            <w:r>
              <w:rPr>
                <w:rFonts w:ascii="仿宋_GB2312" w:hAnsi="仿宋_GB2312" w:cs="仿宋_GB2312" w:eastAsia="仿宋_GB2312"/>
                <w:sz w:val="24"/>
                <w:shd w:fill="FFFFFF" w:val="clear"/>
              </w:rPr>
              <w:t>商务要求</w:t>
            </w:r>
          </w:p>
          <w:p>
            <w:pPr>
              <w:pStyle w:val="null3"/>
              <w:jc w:val="both"/>
            </w:pPr>
            <w:r>
              <w:rPr>
                <w:rFonts w:ascii="仿宋_GB2312" w:hAnsi="仿宋_GB2312" w:cs="仿宋_GB2312" w:eastAsia="仿宋_GB2312"/>
                <w:sz w:val="24"/>
                <w:shd w:fill="FFFFFF" w:val="clear"/>
              </w:rPr>
              <w:t>1. 服务期限：自合同签署之日起至2026年12月底。</w:t>
            </w:r>
          </w:p>
          <w:p>
            <w:pPr>
              <w:pStyle w:val="null3"/>
              <w:jc w:val="both"/>
            </w:pPr>
            <w:r>
              <w:rPr>
                <w:rFonts w:ascii="仿宋_GB2312" w:hAnsi="仿宋_GB2312" w:cs="仿宋_GB2312" w:eastAsia="仿宋_GB2312"/>
                <w:sz w:val="24"/>
                <w:shd w:fill="FFFFFF" w:val="clear"/>
              </w:rPr>
              <w:t>2. 项目预算：50万元。</w:t>
            </w:r>
          </w:p>
          <w:p>
            <w:pPr>
              <w:pStyle w:val="null3"/>
              <w:jc w:val="both"/>
            </w:pPr>
            <w:r>
              <w:rPr>
                <w:rFonts w:ascii="仿宋_GB2312" w:hAnsi="仿宋_GB2312" w:cs="仿宋_GB2312" w:eastAsia="仿宋_GB2312"/>
                <w:sz w:val="24"/>
                <w:shd w:fill="FFFFFF" w:val="clear"/>
              </w:rPr>
              <w:t>3. 款项结算：付款条件说明：</w:t>
            </w:r>
            <w:r>
              <w:rPr>
                <w:rFonts w:ascii="仿宋_GB2312" w:hAnsi="仿宋_GB2312" w:cs="仿宋_GB2312" w:eastAsia="仿宋_GB2312"/>
                <w:sz w:val="24"/>
                <w:shd w:fill="FFFFFF" w:val="clear"/>
              </w:rPr>
              <w:t>合同签订后，达到付款条件起</w:t>
            </w:r>
            <w:r>
              <w:rPr>
                <w:rFonts w:ascii="仿宋_GB2312" w:hAnsi="仿宋_GB2312" w:cs="仿宋_GB2312" w:eastAsia="仿宋_GB2312"/>
                <w:sz w:val="24"/>
                <w:shd w:fill="FFFFFF" w:val="clear"/>
              </w:rPr>
              <w:t>15 日内，支付合同总金额的 60.00%。项目验收合格后，达到付款条件起 15 日内，支付剩余40%。</w:t>
            </w:r>
          </w:p>
          <w:p>
            <w:pPr>
              <w:pStyle w:val="null3"/>
              <w:jc w:val="both"/>
            </w:pPr>
            <w:r>
              <w:rPr>
                <w:rFonts w:ascii="仿宋_GB2312" w:hAnsi="仿宋_GB2312" w:cs="仿宋_GB2312" w:eastAsia="仿宋_GB2312"/>
                <w:sz w:val="24"/>
                <w:shd w:fill="FFFFFF" w:val="clear"/>
              </w:rPr>
              <w:t>4. 项目验收：项目按服务要求及业绩要求进行采购单位内部程序验收。验收报告作为申请付款的凭证之一。验收过程中产生纠纷的，由质量技术监督部门认定的检测机构检测费用由供应商承担。项目执行需确保“真实性、时效性、安全性”原则，不得违反有关法律法规，不侵害其他个人和组织的有关权益（包括但不限于知识产权、版权和人身权利等）。在本合同履行过程中和履行过程后三年内，若发生知识产权纠纷导致甲方被第三方投诉或起诉的，由此所产生的全部责任由乙方承担；若乙方采取不专业的工作方式，导致账号被封号、限制、通报或引发重大问题造成恶劣影响的，甲方可视情况单方解除合同，乙方还应向甲方支付总标的50%的违约金。同时乙方还应根据工作实际完成进度，退还未完成部分的项目费用（项目总费用按每月十二分之一分摊计算）。若实际损失超过违约金的，对超过部分甲方有权要求乙方承担赔偿责任，包括甲方因此产生的调查费、律师费、诉讼费等费用。</w:t>
            </w:r>
          </w:p>
          <w:p>
            <w:pPr>
              <w:pStyle w:val="null3"/>
              <w:jc w:val="both"/>
            </w:pPr>
            <w:r>
              <w:rPr>
                <w:rFonts w:ascii="仿宋_GB2312" w:hAnsi="仿宋_GB2312" w:cs="仿宋_GB2312" w:eastAsia="仿宋_GB2312"/>
                <w:sz w:val="24"/>
                <w:shd w:fill="FFFFFF" w:val="clear"/>
              </w:rPr>
              <w:t>四、其他要求</w:t>
            </w:r>
          </w:p>
          <w:p>
            <w:pPr>
              <w:pStyle w:val="null3"/>
              <w:jc w:val="both"/>
            </w:pPr>
            <w:r>
              <w:rPr>
                <w:rFonts w:ascii="仿宋_GB2312" w:hAnsi="仿宋_GB2312" w:cs="仿宋_GB2312" w:eastAsia="仿宋_GB2312"/>
                <w:sz w:val="24"/>
                <w:shd w:fill="FFFFFF" w:val="clear"/>
              </w:rPr>
              <w:t>1.本项目采用费用包干方式服务，供应商根据项目要求和现场情况，详细列明项目所需的工作人员及演员劳务费、器材费、配音费、剪辑制作费、拟投入本项目全体工作人员意外保险费、项目审查阶段的顾问咨询费、成品专家评审费等费用，以及项目所需的人工、管理、财务、投流等所有费用，如一旦中标，在项目实施中出现任何遗漏，均由成交供应商免费提供，采购人不再支付任何费用。</w:t>
            </w:r>
          </w:p>
          <w:p>
            <w:pPr>
              <w:pStyle w:val="null3"/>
              <w:jc w:val="both"/>
            </w:pPr>
            <w:r>
              <w:rPr>
                <w:rFonts w:ascii="仿宋_GB2312" w:hAnsi="仿宋_GB2312" w:cs="仿宋_GB2312" w:eastAsia="仿宋_GB2312"/>
                <w:sz w:val="24"/>
                <w:shd w:fill="FFFFFF" w:val="clear"/>
              </w:rPr>
              <w:t>2. 供应商应具有独立承担及完成本采购项目的能力，不得将本采购项目进行转包或分包。</w:t>
            </w:r>
          </w:p>
          <w:p>
            <w:pPr>
              <w:pStyle w:val="null3"/>
            </w:pPr>
            <w:r>
              <w:rPr>
                <w:rFonts w:ascii="仿宋_GB2312" w:hAnsi="仿宋_GB2312" w:cs="仿宋_GB2312" w:eastAsia="仿宋_GB2312"/>
                <w:sz w:val="24"/>
                <w:shd w:fill="FFFFFF" w:val="clear"/>
              </w:rPr>
              <w:t>3.供应商在视频拍摄前，如需踏勘现场，由中标单位自行组织，相关费用自理，踏勘及拍摄期间发生的意外自负。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满足采购文件和采购人规范标准要求。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满足采购文件和采购人规范标准要求。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满足采购文件和采购人规范标准要求。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自合同签署之日起至2026年12月底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根据甲乙双方最终合同约定执行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依法免税或不需要缴纳社会保障资金的供应商，应提供相应证明文件，证明其依法免税或不需要缴纳社会保障资金；自然人（仅限中国公民）参与投标时，只须提供身份证复印件；3.4.2（响应文件格式-标的清单）本项目服务范围：2026年“西安文旅”抖音、视频号精品内容创作与传播提升项目；服务要求：符合磋商文件有关技术、商务及其他要求；服务标准：符合国家和省、市有关行业标准及采购人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其他附件.docx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具有履行本合同所必需的设备和专业技术能力：提供具有履行本合同所必需的设备和专业技术能力的书面声明；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法定代表人授权委托书、被授权人身份证（法定代表人参加磋商时,只需提供法定代表人身份证）；被授权人参加开标时，须提供开标前三个月内任意一个月的社保缴纳证明。</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中小企业声明函 标的清单 响应函 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区间分值0-10分。 评审标准细化内容： 供应商提供针对本项目提供：①对本项目背景、现状、需求的了解情况；（本项满分5分） ②对服务内容的理解和把握情况。（本项满分5分） 评审标准： 1、完整性：方案详细全面，符合项目采购要求； 2、可实施性：切合本项目实际情况，方案全面、实施步骤清晰、合理； 3、针对性：方案能够紧扣项目实际情况，内容科学合理。 评审标准量化内容： （1）方案全面详细、阐述条理清晰详尽得10分； （2）评审标准细化内容每缺少一项内容扣5分；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区间分值0-35分。 评审标准细化内容： 供应商提供针对本项目的整体服务方案，内容包括不限于：①全年传播主题服务方案；（本项满分3分） ②季度重点主题服务方案；（本项满分3分） ③月度排期主题服务方案；（本项满分3分） ④重大节庆主题（如春节、五一、国庆）服务方案；（本项满分4分） ⑤常规城市活动主题（如西安城市马拉松、丝绸之路国际电影节）服务方案；（本项满分4分） ⑥策划拍摄常态化文旅短视频的服务方案；（本项满分4分） ⑦建立7×24小时热点响应机制和常备快反采编团队的服务方案；（本项满分3分） ⑧计划性节假日热点（如清明、五一、国庆、春节）提前策划的服务方案；（本项满分3分） ⑨突发性文旅热点（例如“西安初雪”“西安地标与火箭同框”等网络热搜事件）的服务方案。（本项满分3分） ⑩数据分析与报告服务方案（5分） 评审标准： 1、完整性：方案详细全面，符合项目采购要求； 2、可实施性：切合本项目实际情况，方案全面、实施步骤清晰、合理； 3、针对性：方案能够紧扣项目实际情况，内容科学合理； 评审标准量化内容： 前述要求的内容均有描述且符合本项目要求的得35分；每缺少一个方案扣该项方案对应分值，扣完为止；每有一项要求的方案内容有一处缺陷的(缺陷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本项内容不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数字化营销与流量助推服务方案</w:t>
            </w:r>
          </w:p>
        </w:tc>
        <w:tc>
          <w:tcPr>
            <w:tcW w:type="dxa" w:w="2492"/>
          </w:tcPr>
          <w:p>
            <w:pPr>
              <w:pStyle w:val="null3"/>
            </w:pPr>
            <w:r>
              <w:rPr>
                <w:rFonts w:ascii="仿宋_GB2312" w:hAnsi="仿宋_GB2312" w:cs="仿宋_GB2312" w:eastAsia="仿宋_GB2312"/>
              </w:rPr>
              <w:t>区间分值0-10分。 评审标准细化内容： 供应商针对本项目提供数字化营销与流量助推服务策划方案，内容包括不限于：①制订流量投放计划；②提供开展联动宣传的服务方案。 评审标准： 1、完整性：方案详细全面，符合项目采购要求； 2、可实施性：切合本项目实际情况，方案全面、实施步骤清晰、合理； 3、针对性：方案能够紧扣项目实际情况，内容科学合理； 评审标准量化内容： （1）方案全面详细、阐述条理清晰详尽得10分； （2）评审标准细化内容每缺少一项内容扣5分；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区间分值：0-10分。 评审标准细化及量化内容： 供应商针对本项目提出服务承诺，内容包括不限于： ①更新维护的服务承诺；（本项满分3分）。 ②针对服务承诺的详细措施；（本项满分3分）。 ③售后服务方案及保障措施（本项满分4分）。 评审标准： 1、完整性：方案详细全面，符合项目采购要求； 2、可实施性：切合本项目实际情况，方案全面、实施步骤清晰、合理； 3、针对性：方案能够紧扣项目实际情况，内容科学合理； 评审标准量化内容： 前述要求的内容均有描述且符合本项目要求的得10分；每缺少一个方案扣该项方案对应分值，扣完为止；每有一项要求的方案内容有一处缺陷的(缺陷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本项内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区间分值：0-10分。 评审标准细化及量化内容： 拟派项目负责人：（10分） 1.具有与本项目相关全日制本科学历计2分，全日制大专学历计1分。 2.拟派项目负责人业绩：提供拟派项目负责人类似业绩，每提供一份得2分，满分8分（以加盖公章的合同复印件为准，拟派项目负责人业绩与企业类似业绩不重复计取），如未提供不加分。（注：投标文件中附项目负责人在本单位近3个月连续的社保缴纳证明；提供以上人员相应资格证明文件或学历证明文件和身份证复印件，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人员配备（除项目负责人外）</w:t>
            </w:r>
          </w:p>
        </w:tc>
        <w:tc>
          <w:tcPr>
            <w:tcW w:type="dxa" w:w="2492"/>
          </w:tcPr>
          <w:p>
            <w:pPr>
              <w:pStyle w:val="null3"/>
            </w:pPr>
            <w:r>
              <w:rPr>
                <w:rFonts w:ascii="仿宋_GB2312" w:hAnsi="仿宋_GB2312" w:cs="仿宋_GB2312" w:eastAsia="仿宋_GB2312"/>
              </w:rPr>
              <w:t>区间分值：0-5分。 评审标准细化内容： 提供项目人员配置方案包括不限于： ①人员配备情况（本项满分3分） ②岗位安排（本项满分2分） 评审标准量化内容： 前述要求的内容均有描述且符合本项目要求的得5分；每缺少一个方案扣该项方案对应分值，扣完为止；每有一项要求的方案内容有一处缺陷的(缺陷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本项内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区间分值：0-4分。 评审标准细化内容： 供应商针对本项目提出质量保证，内容包括不限于：①质量目标；②质量保证方法及措施；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供应商提供类似项目业绩，每提供一份得3分，满分6分（以加盖公章的合同复印件为准，拟派项目负责人业绩与企业类似业绩不重复计取）。如未提供不加分。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采用低价优先法计算，即满足磋商文件要求且最后报价最低的供应商的价格为评标基准价，其价格分为满分。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