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0178C">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合同编号：</w:t>
      </w:r>
    </w:p>
    <w:p w14:paraId="7E7C2CE1">
      <w:pPr>
        <w:jc w:val="center"/>
        <w:rPr>
          <w:rFonts w:hint="eastAsia" w:ascii="仿宋" w:hAnsi="仿宋" w:eastAsia="仿宋" w:cs="仿宋"/>
          <w:color w:val="auto"/>
          <w:sz w:val="52"/>
          <w:szCs w:val="52"/>
          <w:highlight w:val="none"/>
        </w:rPr>
      </w:pPr>
    </w:p>
    <w:p w14:paraId="12E89A16">
      <w:pP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西安市第九医院</w:t>
      </w:r>
    </w:p>
    <w:p w14:paraId="29601C51">
      <w:pP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门诊分诊叫号系统（项目名称）</w:t>
      </w:r>
    </w:p>
    <w:p w14:paraId="42346CFD">
      <w:pPr>
        <w:jc w:val="center"/>
        <w:rPr>
          <w:rFonts w:hint="eastAsia" w:ascii="仿宋" w:hAnsi="仿宋" w:eastAsia="仿宋" w:cs="仿宋"/>
          <w:b/>
          <w:color w:val="auto"/>
          <w:sz w:val="48"/>
          <w:szCs w:val="48"/>
          <w:highlight w:val="none"/>
        </w:rPr>
      </w:pPr>
    </w:p>
    <w:p w14:paraId="3C82C908">
      <w:pPr>
        <w:jc w:val="center"/>
        <w:rPr>
          <w:rFonts w:hint="eastAsia" w:ascii="仿宋" w:hAnsi="仿宋" w:eastAsia="仿宋" w:cs="仿宋"/>
          <w:b/>
          <w:color w:val="auto"/>
          <w:sz w:val="72"/>
          <w:szCs w:val="72"/>
          <w:highlight w:val="none"/>
        </w:rPr>
      </w:pPr>
      <w:r>
        <w:rPr>
          <w:rFonts w:hint="eastAsia" w:ascii="仿宋" w:hAnsi="仿宋" w:eastAsia="仿宋" w:cs="仿宋"/>
          <w:b/>
          <w:color w:val="auto"/>
          <w:sz w:val="72"/>
          <w:szCs w:val="72"/>
          <w:highlight w:val="none"/>
        </w:rPr>
        <w:t>服 务 合 同</w:t>
      </w:r>
    </w:p>
    <w:p w14:paraId="364937F5">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（项目编号：         ）</w:t>
      </w:r>
    </w:p>
    <w:p w14:paraId="06F1F10C">
      <w:pPr>
        <w:jc w:val="center"/>
        <w:rPr>
          <w:rFonts w:hint="eastAsia" w:ascii="仿宋" w:hAnsi="仿宋" w:eastAsia="仿宋" w:cs="仿宋"/>
          <w:color w:val="auto"/>
          <w:sz w:val="30"/>
          <w:szCs w:val="30"/>
          <w:highlight w:val="none"/>
        </w:rPr>
      </w:pPr>
    </w:p>
    <w:p w14:paraId="1E50DB4B">
      <w:pPr>
        <w:jc w:val="center"/>
        <w:rPr>
          <w:rFonts w:hint="eastAsia" w:ascii="仿宋" w:hAnsi="仿宋" w:eastAsia="仿宋" w:cs="仿宋"/>
          <w:color w:val="auto"/>
          <w:sz w:val="30"/>
          <w:szCs w:val="30"/>
          <w:highlight w:val="none"/>
        </w:rPr>
      </w:pPr>
    </w:p>
    <w:p w14:paraId="76909500">
      <w:pPr>
        <w:jc w:val="center"/>
        <w:rPr>
          <w:rFonts w:hint="eastAsia" w:ascii="仿宋" w:hAnsi="仿宋" w:eastAsia="仿宋" w:cs="仿宋"/>
          <w:color w:val="auto"/>
          <w:sz w:val="30"/>
          <w:szCs w:val="30"/>
          <w:highlight w:val="none"/>
        </w:rPr>
      </w:pPr>
    </w:p>
    <w:p w14:paraId="6BB97989">
      <w:pPr>
        <w:jc w:val="center"/>
        <w:rPr>
          <w:rFonts w:hint="eastAsia" w:ascii="仿宋" w:hAnsi="仿宋" w:eastAsia="仿宋" w:cs="仿宋"/>
          <w:color w:val="auto"/>
          <w:sz w:val="30"/>
          <w:szCs w:val="30"/>
          <w:highlight w:val="none"/>
        </w:rPr>
      </w:pPr>
    </w:p>
    <w:p w14:paraId="5051F2AE">
      <w:pPr>
        <w:jc w:val="center"/>
        <w:rPr>
          <w:rFonts w:hint="eastAsia" w:ascii="仿宋" w:hAnsi="仿宋" w:eastAsia="仿宋" w:cs="仿宋"/>
          <w:color w:val="auto"/>
          <w:sz w:val="30"/>
          <w:szCs w:val="30"/>
          <w:highlight w:val="none"/>
        </w:rPr>
      </w:pPr>
    </w:p>
    <w:p w14:paraId="0177F310">
      <w:pPr>
        <w:jc w:val="center"/>
        <w:rPr>
          <w:rFonts w:hint="eastAsia" w:ascii="仿宋" w:hAnsi="仿宋" w:eastAsia="仿宋" w:cs="仿宋"/>
          <w:color w:val="auto"/>
          <w:sz w:val="30"/>
          <w:szCs w:val="30"/>
          <w:highlight w:val="none"/>
        </w:rPr>
      </w:pPr>
    </w:p>
    <w:p w14:paraId="19046899">
      <w:pPr>
        <w:ind w:firstLine="2124" w:firstLineChars="664"/>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  方：西安市第九医院</w:t>
      </w:r>
    </w:p>
    <w:p w14:paraId="45A3DEFA">
      <w:pPr>
        <w:tabs>
          <w:tab w:val="left" w:pos="480"/>
        </w:tabs>
        <w:ind w:firstLine="2124" w:firstLineChars="664"/>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方：XXXXXXX</w:t>
      </w:r>
    </w:p>
    <w:p w14:paraId="5F7D02B1">
      <w:pPr>
        <w:jc w:val="center"/>
        <w:rPr>
          <w:rFonts w:hint="eastAsia" w:ascii="仿宋" w:hAnsi="仿宋" w:eastAsia="仿宋" w:cs="仿宋"/>
          <w:color w:val="auto"/>
          <w:sz w:val="32"/>
          <w:szCs w:val="32"/>
          <w:highlight w:val="none"/>
        </w:rPr>
      </w:pPr>
    </w:p>
    <w:p w14:paraId="75C0E4E1">
      <w:pPr>
        <w:pStyle w:val="15"/>
        <w:rPr>
          <w:rFonts w:hint="eastAsia" w:ascii="仿宋" w:hAnsi="仿宋" w:eastAsia="仿宋" w:cs="仿宋"/>
          <w:color w:val="auto"/>
          <w:highlight w:val="none"/>
          <w:lang w:val="en-US" w:eastAsia="zh-CN"/>
        </w:rPr>
      </w:pPr>
    </w:p>
    <w:p w14:paraId="4246EC83">
      <w:pPr>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 年   月</w:t>
      </w:r>
    </w:p>
    <w:p w14:paraId="74323487">
      <w:pPr>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中国  西安</w:t>
      </w:r>
    </w:p>
    <w:p w14:paraId="647473A4">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2838F792">
      <w:pPr>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服 务 合 同</w:t>
      </w:r>
    </w:p>
    <w:p w14:paraId="4D07C748">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甲方（采购人）：西安市第九医院</w:t>
      </w:r>
    </w:p>
    <w:p w14:paraId="47E54FDC">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r>
        <w:rPr>
          <w:rFonts w:hint="eastAsia" w:ascii="仿宋" w:hAnsi="仿宋" w:eastAsia="仿宋" w:cs="仿宋"/>
          <w:b/>
          <w:color w:val="auto"/>
          <w:sz w:val="24"/>
          <w:szCs w:val="24"/>
          <w:highlight w:val="none"/>
        </w:rPr>
        <w:t>（供应商）</w:t>
      </w:r>
      <w:r>
        <w:rPr>
          <w:rFonts w:hint="eastAsia" w:ascii="仿宋" w:hAnsi="仿宋" w:eastAsia="仿宋" w:cs="仿宋"/>
          <w:color w:val="auto"/>
          <w:sz w:val="24"/>
          <w:szCs w:val="24"/>
          <w:highlight w:val="none"/>
        </w:rPr>
        <w:t>：</w:t>
      </w:r>
    </w:p>
    <w:p w14:paraId="6FE592E9">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甲方所需服务在西安市财政局政府采购管理处的监督管理下，按照政府采购程序组织竞争性磋商，确定乙方为门诊分诊叫号系统（项目编号：</w:t>
      </w:r>
      <w:r>
        <w:rPr>
          <w:rFonts w:hint="eastAsia" w:ascii="仿宋" w:hAnsi="仿宋" w:eastAsia="仿宋" w:cs="仿宋"/>
          <w:color w:val="auto"/>
          <w:sz w:val="24"/>
          <w:szCs w:val="24"/>
          <w:highlight w:val="none"/>
          <w:lang w:val="en-US" w:eastAsia="zh-CN"/>
        </w:rPr>
        <w:t>DX2026-101</w:t>
      </w:r>
      <w:r>
        <w:rPr>
          <w:rFonts w:hint="eastAsia" w:ascii="仿宋" w:hAnsi="仿宋" w:eastAsia="仿宋" w:cs="仿宋"/>
          <w:color w:val="auto"/>
          <w:sz w:val="24"/>
          <w:szCs w:val="24"/>
          <w:highlight w:val="none"/>
        </w:rPr>
        <w:t>）成交供应商。依据《中华人民共和国政府采购法》《中华人民共和国民法典》等规定以及西安市第九医院竞争性磋商文件、成交通知书，经甲、乙双方协商，采购代理机构确认，达成如下合同条款。</w:t>
      </w:r>
    </w:p>
    <w:p w14:paraId="7D1A756B">
      <w:pPr>
        <w:keepNext w:val="0"/>
        <w:keepLines w:val="0"/>
        <w:pageBreakBefore w:val="0"/>
        <w:widowControl w:val="0"/>
        <w:tabs>
          <w:tab w:val="left" w:pos="480"/>
        </w:tabs>
        <w:kinsoku/>
        <w:wordWrap/>
        <w:overflowPunct/>
        <w:topLinePunct w:val="0"/>
        <w:bidi w:val="0"/>
        <w:spacing w:line="360" w:lineRule="auto"/>
        <w:ind w:left="0" w:leftChars="0" w:firstLine="402" w:firstLineChars="200"/>
        <w:textAlignment w:val="auto"/>
        <w:rPr>
          <w:rFonts w:hint="eastAsia" w:ascii="仿宋" w:hAnsi="仿宋" w:eastAsia="仿宋" w:cs="仿宋"/>
          <w:b/>
          <w:color w:val="auto"/>
          <w:spacing w:val="-20"/>
          <w:kern w:val="0"/>
          <w:sz w:val="24"/>
          <w:szCs w:val="24"/>
          <w:highlight w:val="none"/>
        </w:rPr>
      </w:pPr>
      <w:r>
        <w:rPr>
          <w:rFonts w:hint="eastAsia" w:ascii="仿宋" w:hAnsi="仿宋" w:eastAsia="仿宋" w:cs="仿宋"/>
          <w:b/>
          <w:color w:val="auto"/>
          <w:spacing w:val="-20"/>
          <w:kern w:val="0"/>
          <w:sz w:val="24"/>
          <w:szCs w:val="24"/>
          <w:highlight w:val="none"/>
        </w:rPr>
        <w:t>一、合同标的物内容及数量（以响应文件正本和澄清表〈函〉为准）</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51"/>
        <w:gridCol w:w="1351"/>
        <w:gridCol w:w="1351"/>
        <w:gridCol w:w="1351"/>
        <w:gridCol w:w="1351"/>
        <w:gridCol w:w="1352"/>
      </w:tblGrid>
      <w:tr w14:paraId="7239A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9" w:type="dxa"/>
            <w:noWrap w:val="0"/>
            <w:vAlign w:val="center"/>
          </w:tcPr>
          <w:p w14:paraId="0243AEC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序号</w:t>
            </w:r>
          </w:p>
        </w:tc>
        <w:tc>
          <w:tcPr>
            <w:tcW w:w="1351" w:type="dxa"/>
            <w:noWrap w:val="0"/>
            <w:vAlign w:val="center"/>
          </w:tcPr>
          <w:p w14:paraId="34D76C5A">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服务名称</w:t>
            </w:r>
          </w:p>
        </w:tc>
        <w:tc>
          <w:tcPr>
            <w:tcW w:w="1351" w:type="dxa"/>
            <w:noWrap w:val="0"/>
            <w:vAlign w:val="center"/>
          </w:tcPr>
          <w:p w14:paraId="385EBF5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服务内容</w:t>
            </w:r>
          </w:p>
        </w:tc>
        <w:tc>
          <w:tcPr>
            <w:tcW w:w="1351" w:type="dxa"/>
            <w:noWrap w:val="0"/>
            <w:vAlign w:val="center"/>
          </w:tcPr>
          <w:p w14:paraId="63A7ED4B">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计量单位</w:t>
            </w:r>
          </w:p>
        </w:tc>
        <w:tc>
          <w:tcPr>
            <w:tcW w:w="1351" w:type="dxa"/>
            <w:noWrap w:val="0"/>
            <w:vAlign w:val="center"/>
          </w:tcPr>
          <w:p w14:paraId="6E917969">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服务时间</w:t>
            </w:r>
          </w:p>
        </w:tc>
        <w:tc>
          <w:tcPr>
            <w:tcW w:w="1351" w:type="dxa"/>
            <w:noWrap w:val="0"/>
            <w:vAlign w:val="center"/>
          </w:tcPr>
          <w:p w14:paraId="0F6D21C4">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数量</w:t>
            </w:r>
          </w:p>
        </w:tc>
        <w:tc>
          <w:tcPr>
            <w:tcW w:w="1352" w:type="dxa"/>
            <w:noWrap w:val="0"/>
            <w:vAlign w:val="center"/>
          </w:tcPr>
          <w:p w14:paraId="31CF4644">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备注</w:t>
            </w:r>
          </w:p>
        </w:tc>
      </w:tr>
      <w:tr w14:paraId="00C1A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AA79A7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1</w:t>
            </w:r>
          </w:p>
        </w:tc>
        <w:tc>
          <w:tcPr>
            <w:tcW w:w="1351" w:type="dxa"/>
            <w:noWrap w:val="0"/>
            <w:vAlign w:val="center"/>
          </w:tcPr>
          <w:p w14:paraId="33A9D808">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p>
        </w:tc>
        <w:tc>
          <w:tcPr>
            <w:tcW w:w="1351" w:type="dxa"/>
            <w:noWrap w:val="0"/>
            <w:vAlign w:val="top"/>
          </w:tcPr>
          <w:p w14:paraId="5683495E">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p>
        </w:tc>
        <w:tc>
          <w:tcPr>
            <w:tcW w:w="1351" w:type="dxa"/>
            <w:noWrap w:val="0"/>
            <w:vAlign w:val="top"/>
          </w:tcPr>
          <w:p w14:paraId="196418D7">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p>
        </w:tc>
        <w:tc>
          <w:tcPr>
            <w:tcW w:w="1351" w:type="dxa"/>
            <w:noWrap w:val="0"/>
            <w:vAlign w:val="center"/>
          </w:tcPr>
          <w:p w14:paraId="1B517698">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p>
        </w:tc>
        <w:tc>
          <w:tcPr>
            <w:tcW w:w="1351" w:type="dxa"/>
            <w:noWrap w:val="0"/>
            <w:vAlign w:val="top"/>
          </w:tcPr>
          <w:p w14:paraId="2007B2B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p>
        </w:tc>
        <w:tc>
          <w:tcPr>
            <w:tcW w:w="1352" w:type="dxa"/>
            <w:noWrap w:val="0"/>
            <w:vAlign w:val="top"/>
          </w:tcPr>
          <w:p w14:paraId="61CAA1D1">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p>
        </w:tc>
      </w:tr>
      <w:tr w14:paraId="05D1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3293047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2</w:t>
            </w:r>
          </w:p>
        </w:tc>
        <w:tc>
          <w:tcPr>
            <w:tcW w:w="1351" w:type="dxa"/>
            <w:noWrap w:val="0"/>
            <w:vAlign w:val="center"/>
          </w:tcPr>
          <w:p w14:paraId="0AD69071">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p>
        </w:tc>
        <w:tc>
          <w:tcPr>
            <w:tcW w:w="1351" w:type="dxa"/>
            <w:noWrap w:val="0"/>
            <w:vAlign w:val="top"/>
          </w:tcPr>
          <w:p w14:paraId="5A7E1A21">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p>
        </w:tc>
        <w:tc>
          <w:tcPr>
            <w:tcW w:w="1351" w:type="dxa"/>
            <w:noWrap w:val="0"/>
            <w:vAlign w:val="top"/>
          </w:tcPr>
          <w:p w14:paraId="3272C9A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p>
        </w:tc>
        <w:tc>
          <w:tcPr>
            <w:tcW w:w="1351" w:type="dxa"/>
            <w:noWrap w:val="0"/>
            <w:vAlign w:val="center"/>
          </w:tcPr>
          <w:p w14:paraId="3EB07EEF">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p>
        </w:tc>
        <w:tc>
          <w:tcPr>
            <w:tcW w:w="1351" w:type="dxa"/>
            <w:noWrap w:val="0"/>
            <w:vAlign w:val="top"/>
          </w:tcPr>
          <w:p w14:paraId="20B249B7">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p>
        </w:tc>
        <w:tc>
          <w:tcPr>
            <w:tcW w:w="1352" w:type="dxa"/>
            <w:noWrap w:val="0"/>
            <w:vAlign w:val="top"/>
          </w:tcPr>
          <w:p w14:paraId="492A0D8B">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p>
        </w:tc>
      </w:tr>
      <w:tr w14:paraId="77011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727456D1">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合计</w:t>
            </w:r>
          </w:p>
        </w:tc>
        <w:tc>
          <w:tcPr>
            <w:tcW w:w="8107" w:type="dxa"/>
            <w:gridSpan w:val="6"/>
            <w:noWrap w:val="0"/>
            <w:vAlign w:val="center"/>
          </w:tcPr>
          <w:p w14:paraId="3CABEE5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pacing w:val="-20"/>
                <w:kern w:val="0"/>
                <w:sz w:val="24"/>
                <w:szCs w:val="24"/>
                <w:highlight w:val="none"/>
              </w:rPr>
            </w:pPr>
          </w:p>
        </w:tc>
      </w:tr>
      <w:tr w14:paraId="47E5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0039485F">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说明</w:t>
            </w:r>
          </w:p>
        </w:tc>
        <w:tc>
          <w:tcPr>
            <w:tcW w:w="8107" w:type="dxa"/>
            <w:gridSpan w:val="6"/>
            <w:noWrap w:val="0"/>
            <w:vAlign w:val="center"/>
          </w:tcPr>
          <w:p w14:paraId="563B9BE5">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pacing w:val="-20"/>
                <w:kern w:val="0"/>
                <w:sz w:val="24"/>
                <w:szCs w:val="24"/>
                <w:highlight w:val="none"/>
              </w:rPr>
            </w:pPr>
          </w:p>
        </w:tc>
      </w:tr>
    </w:tbl>
    <w:p w14:paraId="409374D8">
      <w:pPr>
        <w:keepNext w:val="0"/>
        <w:keepLines w:val="0"/>
        <w:pageBreakBefore w:val="0"/>
        <w:widowControl w:val="0"/>
        <w:tabs>
          <w:tab w:val="left" w:pos="480"/>
        </w:tabs>
        <w:kinsoku/>
        <w:wordWrap/>
        <w:overflowPunct/>
        <w:topLinePunct w:val="0"/>
        <w:bidi w:val="0"/>
        <w:spacing w:line="360" w:lineRule="auto"/>
        <w:ind w:left="0" w:leftChars="0" w:firstLine="402" w:firstLineChars="200"/>
        <w:textAlignment w:val="auto"/>
        <w:rPr>
          <w:rFonts w:hint="eastAsia" w:ascii="仿宋" w:hAnsi="仿宋" w:eastAsia="仿宋" w:cs="仿宋"/>
          <w:b/>
          <w:color w:val="auto"/>
          <w:spacing w:val="-20"/>
          <w:kern w:val="0"/>
          <w:sz w:val="24"/>
          <w:szCs w:val="24"/>
          <w:highlight w:val="none"/>
        </w:rPr>
      </w:pPr>
      <w:r>
        <w:rPr>
          <w:rFonts w:hint="eastAsia" w:ascii="仿宋" w:hAnsi="仿宋" w:eastAsia="仿宋" w:cs="仿宋"/>
          <w:b/>
          <w:color w:val="auto"/>
          <w:spacing w:val="-20"/>
          <w:kern w:val="0"/>
          <w:sz w:val="24"/>
          <w:szCs w:val="24"/>
          <w:highlight w:val="none"/>
        </w:rPr>
        <w:t>（上表仅供参考，应根据项目具体内容修改填写，详细服务内容及明细标准可附附件或详见竞争性磋商响应文件，需说明清楚）</w:t>
      </w:r>
    </w:p>
    <w:p w14:paraId="31C8FA8E">
      <w:pPr>
        <w:keepNext w:val="0"/>
        <w:keepLines w:val="0"/>
        <w:pageBreakBefore w:val="0"/>
        <w:widowControl w:val="0"/>
        <w:tabs>
          <w:tab w:val="left" w:pos="480"/>
        </w:tabs>
        <w:kinsoku/>
        <w:wordWrap/>
        <w:overflowPunct/>
        <w:topLinePunct w:val="0"/>
        <w:bidi w:val="0"/>
        <w:spacing w:line="360" w:lineRule="auto"/>
        <w:ind w:left="0" w:leftChars="0" w:firstLine="402" w:firstLineChars="200"/>
        <w:textAlignment w:val="auto"/>
        <w:rPr>
          <w:rFonts w:hint="eastAsia" w:ascii="仿宋" w:hAnsi="仿宋" w:eastAsia="仿宋" w:cs="仿宋"/>
          <w:b/>
          <w:color w:val="auto"/>
          <w:spacing w:val="-20"/>
          <w:kern w:val="0"/>
          <w:sz w:val="24"/>
          <w:szCs w:val="24"/>
          <w:highlight w:val="none"/>
        </w:rPr>
      </w:pPr>
      <w:r>
        <w:rPr>
          <w:rFonts w:hint="eastAsia" w:ascii="仿宋" w:hAnsi="仿宋" w:eastAsia="仿宋" w:cs="仿宋"/>
          <w:b/>
          <w:color w:val="auto"/>
          <w:spacing w:val="-20"/>
          <w:kern w:val="0"/>
          <w:sz w:val="24"/>
          <w:szCs w:val="24"/>
          <w:highlight w:val="none"/>
        </w:rPr>
        <w:t>二、服务条件</w:t>
      </w:r>
    </w:p>
    <w:p w14:paraId="51EB25DC">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（一）服务地点：甲方指定地点。</w:t>
      </w:r>
    </w:p>
    <w:p w14:paraId="0C244B1F">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en-US" w:eastAsia="zh-CN"/>
        </w:rPr>
        <w:t>建设</w:t>
      </w:r>
      <w:r>
        <w:rPr>
          <w:rFonts w:hint="eastAsia" w:ascii="仿宋" w:hAnsi="仿宋" w:eastAsia="仿宋" w:cs="仿宋"/>
          <w:color w:val="auto"/>
          <w:sz w:val="24"/>
          <w:szCs w:val="24"/>
          <w:highlight w:val="none"/>
        </w:rPr>
        <w:t>期：自本合同签订之日起180个日历日。</w:t>
      </w:r>
    </w:p>
    <w:p w14:paraId="7E8677F8">
      <w:pPr>
        <w:keepNext w:val="0"/>
        <w:keepLines w:val="0"/>
        <w:pageBreakBefore w:val="0"/>
        <w:widowControl w:val="0"/>
        <w:kinsoku/>
        <w:wordWrap/>
        <w:overflowPunct/>
        <w:topLinePunct w:val="0"/>
        <w:bidi w:val="0"/>
        <w:spacing w:line="360" w:lineRule="auto"/>
        <w:ind w:left="0" w:leftChars="0"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质保、维保期限：</w:t>
      </w:r>
      <w:r>
        <w:rPr>
          <w:rFonts w:hint="eastAsia" w:ascii="仿宋" w:hAnsi="仿宋" w:eastAsia="仿宋" w:cs="仿宋"/>
          <w:color w:val="auto"/>
          <w:sz w:val="24"/>
          <w:szCs w:val="24"/>
          <w:highlight w:val="none"/>
          <w:lang w:val="en-US" w:eastAsia="zh-CN"/>
        </w:rPr>
        <w:t>软件质保期自验收合格之日起3年，硬件质保期自验收合格之日起1年。</w:t>
      </w:r>
    </w:p>
    <w:p w14:paraId="3C99173A">
      <w:pPr>
        <w:keepNext w:val="0"/>
        <w:keepLines w:val="0"/>
        <w:pageBreakBefore w:val="0"/>
        <w:widowControl w:val="0"/>
        <w:tabs>
          <w:tab w:val="left" w:pos="480"/>
        </w:tabs>
        <w:kinsoku/>
        <w:wordWrap/>
        <w:overflowPunct/>
        <w:topLinePunct w:val="0"/>
        <w:bidi w:val="0"/>
        <w:spacing w:line="360" w:lineRule="auto"/>
        <w:ind w:left="0" w:leftChars="0" w:firstLine="402" w:firstLineChars="200"/>
        <w:textAlignment w:val="auto"/>
        <w:rPr>
          <w:rFonts w:hint="eastAsia" w:ascii="仿宋" w:hAnsi="仿宋" w:eastAsia="仿宋" w:cs="仿宋"/>
          <w:b/>
          <w:color w:val="auto"/>
          <w:spacing w:val="-20"/>
          <w:kern w:val="0"/>
          <w:sz w:val="24"/>
          <w:szCs w:val="24"/>
          <w:highlight w:val="none"/>
        </w:rPr>
      </w:pPr>
      <w:r>
        <w:rPr>
          <w:rFonts w:hint="eastAsia" w:ascii="仿宋" w:hAnsi="仿宋" w:eastAsia="仿宋" w:cs="仿宋"/>
          <w:b/>
          <w:color w:val="auto"/>
          <w:spacing w:val="-20"/>
          <w:kern w:val="0"/>
          <w:sz w:val="24"/>
          <w:szCs w:val="24"/>
          <w:highlight w:val="none"/>
        </w:rPr>
        <w:t>三、合同价款</w:t>
      </w:r>
    </w:p>
    <w:p w14:paraId="0D5CB6DD">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（一）合同总价款为人民币（大写）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9285EB0">
      <w:pPr>
        <w:pStyle w:val="14"/>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（二）合同总价已包含但不限于乙方为提供服务所产生的全部成本、预期利益、售后服务、税费和合同中规定乙方应承担的其他义务的费用等。</w:t>
      </w:r>
    </w:p>
    <w:p w14:paraId="2581FD42">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（三）合同总价一次性包死，不受市场价格变化因素的影响。</w:t>
      </w:r>
    </w:p>
    <w:p w14:paraId="151FC835">
      <w:pPr>
        <w:keepNext w:val="0"/>
        <w:keepLines w:val="0"/>
        <w:pageBreakBefore w:val="0"/>
        <w:widowControl w:val="0"/>
        <w:tabs>
          <w:tab w:val="left" w:pos="480"/>
        </w:tabs>
        <w:kinsoku/>
        <w:wordWrap/>
        <w:overflowPunct/>
        <w:topLinePunct w:val="0"/>
        <w:bidi w:val="0"/>
        <w:spacing w:line="360" w:lineRule="auto"/>
        <w:ind w:left="0" w:leftChars="0" w:firstLine="402" w:firstLineChars="200"/>
        <w:textAlignment w:val="auto"/>
        <w:rPr>
          <w:rFonts w:hint="eastAsia" w:ascii="仿宋" w:hAnsi="仿宋" w:eastAsia="仿宋" w:cs="仿宋"/>
          <w:b/>
          <w:color w:val="auto"/>
          <w:spacing w:val="-20"/>
          <w:kern w:val="0"/>
          <w:sz w:val="24"/>
          <w:szCs w:val="24"/>
          <w:highlight w:val="none"/>
        </w:rPr>
      </w:pPr>
      <w:r>
        <w:rPr>
          <w:rFonts w:hint="eastAsia" w:ascii="仿宋" w:hAnsi="仿宋" w:eastAsia="仿宋" w:cs="仿宋"/>
          <w:b/>
          <w:color w:val="auto"/>
          <w:spacing w:val="-20"/>
          <w:kern w:val="0"/>
          <w:sz w:val="24"/>
          <w:szCs w:val="24"/>
          <w:highlight w:val="none"/>
        </w:rPr>
        <w:t>四、款项</w:t>
      </w:r>
      <w:r>
        <w:rPr>
          <w:rFonts w:hint="eastAsia" w:ascii="仿宋" w:hAnsi="仿宋" w:eastAsia="仿宋" w:cs="仿宋"/>
          <w:b/>
          <w:color w:val="auto"/>
          <w:sz w:val="24"/>
          <w:szCs w:val="24"/>
          <w:highlight w:val="none"/>
        </w:rPr>
        <w:t>支付、</w:t>
      </w:r>
      <w:r>
        <w:rPr>
          <w:rFonts w:hint="eastAsia" w:ascii="仿宋" w:hAnsi="仿宋" w:eastAsia="仿宋" w:cs="仿宋"/>
          <w:b/>
          <w:color w:val="auto"/>
          <w:spacing w:val="-20"/>
          <w:kern w:val="0"/>
          <w:sz w:val="24"/>
          <w:szCs w:val="24"/>
          <w:highlight w:val="none"/>
        </w:rPr>
        <w:t>结算</w:t>
      </w:r>
    </w:p>
    <w:p w14:paraId="000BA223">
      <w:pPr>
        <w:pStyle w:val="15"/>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（一）结算：</w:t>
      </w:r>
    </w:p>
    <w:p w14:paraId="6A5FCDA7">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验收合格后，乙方持本合同总价款的全额增值税发票、本合同及项目验收单到甲方办理资金结算。</w:t>
      </w:r>
    </w:p>
    <w:p w14:paraId="0FD193A5">
      <w:pPr>
        <w:pStyle w:val="14"/>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支付方式：原则按分期付款方式支付。</w:t>
      </w:r>
    </w:p>
    <w:p w14:paraId="688D0858">
      <w:pPr>
        <w:pStyle w:val="14"/>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验收合格后，甲方收到乙方提供的全额增值税发票、本合同及项目验收单，达到付款条件起30日内，支付合同总金额的</w:t>
      </w:r>
      <w:r>
        <w:rPr>
          <w:rFonts w:hint="eastAsia" w:ascii="仿宋" w:hAnsi="仿宋" w:eastAsia="仿宋" w:cs="仿宋"/>
          <w:color w:val="auto"/>
          <w:sz w:val="24"/>
          <w:szCs w:val="24"/>
          <w:highlight w:val="none"/>
          <w:lang w:val="en-US" w:eastAsia="zh-CN"/>
        </w:rPr>
        <w:t>95</w:t>
      </w:r>
      <w:r>
        <w:rPr>
          <w:rFonts w:hint="eastAsia" w:ascii="仿宋" w:hAnsi="仿宋" w:eastAsia="仿宋" w:cs="仿宋"/>
          <w:color w:val="auto"/>
          <w:sz w:val="24"/>
          <w:szCs w:val="24"/>
          <w:highlight w:val="none"/>
        </w:rPr>
        <w:t>.00%。</w:t>
      </w:r>
    </w:p>
    <w:p w14:paraId="76EC831A">
      <w:pPr>
        <w:pStyle w:val="14"/>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质保期限届满后，达到付款条件起30日内，支付合同总金额的</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.00%。</w:t>
      </w:r>
    </w:p>
    <w:p w14:paraId="423877CF">
      <w:pPr>
        <w:pStyle w:val="14"/>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（三）付款方式：银行转账</w:t>
      </w:r>
      <w:r>
        <w:rPr>
          <w:rFonts w:hint="eastAsia" w:ascii="仿宋" w:hAnsi="仿宋" w:eastAsia="仿宋" w:cs="仿宋"/>
          <w:color w:val="auto"/>
          <w:sz w:val="24"/>
          <w:szCs w:val="24"/>
          <w:highlight w:val="none"/>
          <w:lang w:val="zh-CN"/>
        </w:rPr>
        <w:t>将款项转入乙方银行账户。乙方银行账户信息如下：</w:t>
      </w:r>
    </w:p>
    <w:p w14:paraId="0C5A537B">
      <w:pPr>
        <w:keepNext w:val="0"/>
        <w:keepLines w:val="0"/>
        <w:pageBreakBefore w:val="0"/>
        <w:widowControl w:val="0"/>
        <w:kinsoku/>
        <w:wordWrap/>
        <w:overflowPunct/>
        <w:topLinePunct w:val="0"/>
        <w:bidi w:val="0"/>
        <w:spacing w:line="360" w:lineRule="auto"/>
        <w:ind w:left="0" w:leftChars="0" w:firstLine="482" w:firstLineChars="200"/>
        <w:textAlignment w:val="auto"/>
        <w:rPr>
          <w:rFonts w:hint="eastAsia" w:ascii="仿宋" w:hAnsi="仿宋" w:eastAsia="仿宋" w:cs="仿宋"/>
          <w:b/>
          <w:bCs/>
          <w:color w:val="auto"/>
          <w:sz w:val="24"/>
          <w:szCs w:val="24"/>
          <w:highlight w:val="none"/>
          <w:u w:val="single"/>
          <w:lang w:val="zh-CN"/>
        </w:rPr>
      </w:pPr>
      <w:r>
        <w:rPr>
          <w:rFonts w:hint="eastAsia" w:ascii="仿宋" w:hAnsi="仿宋" w:eastAsia="仿宋" w:cs="仿宋"/>
          <w:b/>
          <w:bCs/>
          <w:color w:val="auto"/>
          <w:sz w:val="24"/>
          <w:szCs w:val="24"/>
          <w:highlight w:val="none"/>
          <w:lang w:val="zh-CN"/>
        </w:rPr>
        <w:t>账户全称：</w:t>
      </w:r>
    </w:p>
    <w:p w14:paraId="59064D6B">
      <w:pPr>
        <w:keepNext w:val="0"/>
        <w:keepLines w:val="0"/>
        <w:pageBreakBefore w:val="0"/>
        <w:widowControl w:val="0"/>
        <w:kinsoku/>
        <w:wordWrap/>
        <w:overflowPunct/>
        <w:topLinePunct w:val="0"/>
        <w:bidi w:val="0"/>
        <w:spacing w:line="360" w:lineRule="auto"/>
        <w:ind w:left="0" w:leftChars="0" w:firstLine="482" w:firstLineChars="200"/>
        <w:textAlignment w:val="auto"/>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lang w:val="zh-CN"/>
        </w:rPr>
        <w:t>账    号：</w:t>
      </w:r>
    </w:p>
    <w:p w14:paraId="71A67667">
      <w:pPr>
        <w:keepNext w:val="0"/>
        <w:keepLines w:val="0"/>
        <w:pageBreakBefore w:val="0"/>
        <w:widowControl w:val="0"/>
        <w:kinsoku/>
        <w:wordWrap/>
        <w:overflowPunct/>
        <w:topLinePunct w:val="0"/>
        <w:bidi w:val="0"/>
        <w:spacing w:line="360" w:lineRule="auto"/>
        <w:ind w:left="0" w:leftChars="0" w:firstLine="482" w:firstLineChars="200"/>
        <w:textAlignment w:val="auto"/>
        <w:rPr>
          <w:rFonts w:hint="eastAsia" w:ascii="仿宋" w:hAnsi="仿宋" w:eastAsia="仿宋" w:cs="仿宋"/>
          <w:b/>
          <w:bCs/>
          <w:color w:val="auto"/>
          <w:sz w:val="24"/>
          <w:szCs w:val="24"/>
          <w:highlight w:val="none"/>
          <w:u w:val="single"/>
          <w:lang w:val="zh-CN"/>
        </w:rPr>
      </w:pPr>
      <w:r>
        <w:rPr>
          <w:rFonts w:hint="eastAsia" w:ascii="仿宋" w:hAnsi="仿宋" w:eastAsia="仿宋" w:cs="仿宋"/>
          <w:b/>
          <w:bCs/>
          <w:color w:val="auto"/>
          <w:sz w:val="24"/>
          <w:szCs w:val="24"/>
          <w:highlight w:val="none"/>
          <w:lang w:val="zh-CN"/>
        </w:rPr>
        <w:t>开 户 行：</w:t>
      </w:r>
    </w:p>
    <w:p w14:paraId="1F72ED17">
      <w:pPr>
        <w:keepNext w:val="0"/>
        <w:keepLines w:val="0"/>
        <w:pageBreakBefore w:val="0"/>
        <w:widowControl w:val="0"/>
        <w:kinsoku/>
        <w:wordWrap/>
        <w:overflowPunct/>
        <w:topLinePunct w:val="0"/>
        <w:bidi w:val="0"/>
        <w:spacing w:line="360" w:lineRule="auto"/>
        <w:ind w:left="0" w:leftChars="0" w:firstLine="482" w:firstLineChars="200"/>
        <w:textAlignment w:val="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u w:val="single"/>
          <w:lang w:val="zh-CN"/>
        </w:rPr>
        <w:t>甲方仅认可上述指定账户并向该账户付款。甲方有权拒绝向指定账户之外的任何账户付款，并且由此导致的付款延迟责任由乙方承担。</w:t>
      </w:r>
    </w:p>
    <w:p w14:paraId="75EF2B1D">
      <w:pPr>
        <w:pStyle w:val="17"/>
        <w:widowControl w:val="0"/>
        <w:snapToGrid w:val="0"/>
        <w:spacing w:before="0" w:beforeAutospacing="0" w:after="0" w:afterAutospacing="0" w:line="540" w:lineRule="exact"/>
        <w:ind w:firstLine="528" w:firstLineChars="220"/>
        <w:contextualSpacing/>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乙方要如实开具发票，乙方开具发票出现税务争议的，乙方应承担税款、滞纳金、罚款等赔偿责任以及其他相关责任。</w:t>
      </w:r>
    </w:p>
    <w:p w14:paraId="374811CF">
      <w:pPr>
        <w:keepNext w:val="0"/>
        <w:keepLines w:val="0"/>
        <w:pageBreakBefore w:val="0"/>
        <w:widowControl w:val="0"/>
        <w:kinsoku/>
        <w:wordWrap/>
        <w:overflowPunct/>
        <w:topLinePunct w:val="0"/>
        <w:bidi w:val="0"/>
        <w:spacing w:line="360" w:lineRule="auto"/>
        <w:ind w:left="0" w:leftChars="0" w:firstLine="402" w:firstLineChars="200"/>
        <w:textAlignment w:val="auto"/>
        <w:rPr>
          <w:rFonts w:hint="eastAsia" w:ascii="仿宋" w:hAnsi="仿宋" w:eastAsia="仿宋" w:cs="仿宋"/>
          <w:b/>
          <w:color w:val="auto"/>
          <w:spacing w:val="-20"/>
          <w:kern w:val="0"/>
          <w:sz w:val="24"/>
          <w:szCs w:val="24"/>
          <w:highlight w:val="none"/>
        </w:rPr>
      </w:pPr>
      <w:r>
        <w:rPr>
          <w:rFonts w:hint="eastAsia" w:ascii="仿宋" w:hAnsi="仿宋" w:eastAsia="仿宋" w:cs="仿宋"/>
          <w:b/>
          <w:color w:val="auto"/>
          <w:spacing w:val="-20"/>
          <w:kern w:val="0"/>
          <w:sz w:val="24"/>
          <w:szCs w:val="24"/>
          <w:highlight w:val="none"/>
        </w:rPr>
        <w:t>五、双方的权利和义务</w:t>
      </w:r>
    </w:p>
    <w:p w14:paraId="1424EA7F">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（一）甲方的权利和义务</w:t>
      </w:r>
    </w:p>
    <w:p w14:paraId="3F477FB3">
      <w:pPr>
        <w:keepNext w:val="0"/>
        <w:keepLines w:val="0"/>
        <w:pageBreakBefore w:val="0"/>
        <w:widowControl w:val="0"/>
        <w:tabs>
          <w:tab w:val="left" w:pos="480"/>
        </w:tabs>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1.甲方有权对乙方的服务等成果进行监督核查；甲方认为服务不达标的（包括但不限于被投诉、满意度低于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等），有权下达整改通知书，乙方应在接到通知书</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日内整改合格。</w:t>
      </w:r>
    </w:p>
    <w:p w14:paraId="3F25A0DB">
      <w:pPr>
        <w:keepNext w:val="0"/>
        <w:keepLines w:val="0"/>
        <w:pageBreakBefore w:val="0"/>
        <w:widowControl w:val="0"/>
        <w:tabs>
          <w:tab w:val="left" w:pos="480"/>
        </w:tabs>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2.甲方依据本合同的约定及验收结果，向乙方支付款项。</w:t>
      </w:r>
    </w:p>
    <w:p w14:paraId="58D9CC1F">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
          <w:color w:val="auto"/>
          <w:sz w:val="24"/>
          <w:szCs w:val="24"/>
          <w:highlight w:val="none"/>
        </w:rPr>
        <w:t>其他条款。（参照招标、</w:t>
      </w:r>
      <w:r>
        <w:rPr>
          <w:rFonts w:hint="eastAsia" w:ascii="仿宋" w:hAnsi="仿宋" w:eastAsia="仿宋" w:cs="仿宋"/>
          <w:b/>
          <w:color w:val="auto"/>
          <w:sz w:val="24"/>
          <w:szCs w:val="24"/>
          <w:highlight w:val="none"/>
          <w:lang w:val="en-US" w:eastAsia="zh-CN"/>
        </w:rPr>
        <w:t>磋商</w:t>
      </w:r>
      <w:r>
        <w:rPr>
          <w:rFonts w:hint="eastAsia" w:ascii="仿宋" w:hAnsi="仿宋" w:eastAsia="仿宋" w:cs="仿宋"/>
          <w:b/>
          <w:color w:val="auto"/>
          <w:sz w:val="24"/>
          <w:szCs w:val="24"/>
          <w:highlight w:val="none"/>
        </w:rPr>
        <w:t>文件条款）</w:t>
      </w:r>
    </w:p>
    <w:p w14:paraId="4EDE391F">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（二）乙方的权利和义务</w:t>
      </w:r>
    </w:p>
    <w:p w14:paraId="4A2EF8F9">
      <w:pPr>
        <w:keepNext w:val="0"/>
        <w:keepLines w:val="0"/>
        <w:pageBreakBefore w:val="0"/>
        <w:widowControl w:val="0"/>
        <w:tabs>
          <w:tab w:val="left" w:pos="480"/>
        </w:tabs>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1．乙方的服务应及时有效，不得影响患者就诊；乙方应全力配合甲方的工作。</w:t>
      </w:r>
    </w:p>
    <w:p w14:paraId="26F7896C">
      <w:pPr>
        <w:keepNext w:val="0"/>
        <w:keepLines w:val="0"/>
        <w:pageBreakBefore w:val="0"/>
        <w:widowControl w:val="0"/>
        <w:tabs>
          <w:tab w:val="left" w:pos="480"/>
        </w:tabs>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2.乙方应免费提供每周7天，每天24小时不间断的电话支持服务，解答甲方在使用过程中遇到的问题；乙方电话响应时间应小于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小时、到达现场时间不超过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小时、解决问题不超过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w:t>
      </w:r>
    </w:p>
    <w:p w14:paraId="5E82B680">
      <w:pPr>
        <w:keepNext w:val="0"/>
        <w:keepLines w:val="0"/>
        <w:pageBreakBefore w:val="0"/>
        <w:widowControl w:val="0"/>
        <w:tabs>
          <w:tab w:val="left" w:pos="480"/>
        </w:tabs>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3.乙方对甲方突发公共卫生事件及各项应急预案应积极响应并派员配合协助，不得拒绝推诿。</w:t>
      </w:r>
    </w:p>
    <w:p w14:paraId="7EC0583A">
      <w:pPr>
        <w:keepNext w:val="0"/>
        <w:keepLines w:val="0"/>
        <w:pageBreakBefore w:val="0"/>
        <w:widowControl w:val="0"/>
        <w:tabs>
          <w:tab w:val="left" w:pos="480"/>
        </w:tabs>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4.及时向甲方通告本项目服务范围内有关服务的重大事项，及时配合处理投诉。</w:t>
      </w:r>
    </w:p>
    <w:p w14:paraId="1A4ACE20">
      <w:pPr>
        <w:keepNext w:val="0"/>
        <w:keepLines w:val="0"/>
        <w:pageBreakBefore w:val="0"/>
        <w:widowControl w:val="0"/>
        <w:tabs>
          <w:tab w:val="left" w:pos="480"/>
        </w:tabs>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5.乙方的服务多次（3次及以上）不能达到本合同的约定及甲方的要求，甲方有权指定第三方服务，服务费用由乙方承担。</w:t>
      </w:r>
    </w:p>
    <w:p w14:paraId="6D7D1230">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 乙方所供服务必须做到服务方案和方式科学、可行，人员配置合理，全面满足要求。符合国家有关服务规范要求，确保各项服务达到最佳运行效果。</w:t>
      </w:r>
    </w:p>
    <w:p w14:paraId="16C09FFC">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 未经甲方同意，乙方不得擅自将本合同服务转包第三方承担，否则应承担违约责任并赔偿甲方的损失。</w:t>
      </w:r>
    </w:p>
    <w:p w14:paraId="65199163">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8.乙方提供的服务，若发生侵权而产生的一切后果，由乙方负责。甲方保留索赔权利。</w:t>
      </w:r>
    </w:p>
    <w:p w14:paraId="69673895">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9.乙方向甲方提交服务实施过程中的相关资料，以便甲方日后管理和维护。</w:t>
      </w:r>
    </w:p>
    <w:p w14:paraId="2B55B96B">
      <w:pPr>
        <w:keepNext w:val="0"/>
        <w:keepLines w:val="0"/>
        <w:pageBreakBefore w:val="0"/>
        <w:widowControl w:val="0"/>
        <w:kinsoku/>
        <w:wordWrap/>
        <w:overflowPunct/>
        <w:topLinePunct w:val="0"/>
        <w:bidi w:val="0"/>
        <w:spacing w:line="360" w:lineRule="auto"/>
        <w:ind w:left="0" w:leftChars="0"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10.服务承诺内容。</w:t>
      </w:r>
    </w:p>
    <w:p w14:paraId="5CD0BE1A">
      <w:pPr>
        <w:keepNext w:val="0"/>
        <w:keepLines w:val="0"/>
        <w:pageBreakBefore w:val="0"/>
        <w:widowControl w:val="0"/>
        <w:kinsoku/>
        <w:wordWrap/>
        <w:overflowPunct/>
        <w:topLinePunct w:val="0"/>
        <w:bidi w:val="0"/>
        <w:spacing w:line="360" w:lineRule="auto"/>
        <w:ind w:left="0" w:leftChars="0"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11.双方拟定的其他条款。</w:t>
      </w:r>
    </w:p>
    <w:p w14:paraId="74DEF0C4">
      <w:pPr>
        <w:pStyle w:val="15"/>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国家法律、法规等规定的应由乙方承担的其它责任。</w:t>
      </w:r>
    </w:p>
    <w:p w14:paraId="35D688DF">
      <w:pPr>
        <w:pStyle w:val="14"/>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乙方按照</w:t>
      </w:r>
      <w:r>
        <w:rPr>
          <w:rFonts w:hint="eastAsia" w:ascii="仿宋" w:hAnsi="仿宋" w:cs="仿宋"/>
          <w:color w:val="auto"/>
          <w:sz w:val="24"/>
          <w:szCs w:val="24"/>
          <w:highlight w:val="none"/>
          <w:lang w:val="en-US" w:eastAsia="zh-CN"/>
        </w:rPr>
        <w:t>磋商</w:t>
      </w:r>
      <w:r>
        <w:rPr>
          <w:rFonts w:hint="eastAsia" w:ascii="仿宋" w:hAnsi="仿宋" w:eastAsia="仿宋" w:cs="仿宋"/>
          <w:color w:val="auto"/>
          <w:sz w:val="24"/>
          <w:szCs w:val="24"/>
          <w:highlight w:val="none"/>
        </w:rPr>
        <w:t>、</w:t>
      </w:r>
      <w:r>
        <w:rPr>
          <w:rFonts w:hint="eastAsia" w:ascii="仿宋" w:hAnsi="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文件要求，向甲方提供的其他技术支持服务。</w:t>
      </w:r>
      <w:r>
        <w:rPr>
          <w:rFonts w:hint="eastAsia" w:ascii="仿宋" w:hAnsi="仿宋" w:eastAsia="仿宋" w:cs="仿宋"/>
          <w:b/>
          <w:color w:val="auto"/>
          <w:sz w:val="24"/>
          <w:szCs w:val="24"/>
          <w:highlight w:val="none"/>
        </w:rPr>
        <w:t>（由双方协商，必须填写）</w:t>
      </w:r>
    </w:p>
    <w:p w14:paraId="3EE300A1">
      <w:pPr>
        <w:keepNext w:val="0"/>
        <w:keepLines w:val="0"/>
        <w:pageBreakBefore w:val="0"/>
        <w:widowControl w:val="0"/>
        <w:kinsoku/>
        <w:wordWrap/>
        <w:overflowPunct/>
        <w:topLinePunct w:val="0"/>
        <w:bidi w:val="0"/>
        <w:spacing w:line="360" w:lineRule="auto"/>
        <w:ind w:left="0" w:leftChars="0" w:firstLine="402" w:firstLineChars="200"/>
        <w:textAlignment w:val="auto"/>
        <w:rPr>
          <w:rFonts w:hint="eastAsia" w:ascii="仿宋" w:hAnsi="仿宋" w:eastAsia="仿宋" w:cs="仿宋"/>
          <w:b/>
          <w:color w:val="auto"/>
          <w:spacing w:val="-20"/>
          <w:kern w:val="0"/>
          <w:sz w:val="24"/>
          <w:szCs w:val="24"/>
          <w:highlight w:val="none"/>
        </w:rPr>
      </w:pPr>
      <w:r>
        <w:rPr>
          <w:rFonts w:hint="eastAsia" w:ascii="仿宋" w:hAnsi="仿宋" w:eastAsia="仿宋" w:cs="仿宋"/>
          <w:b/>
          <w:color w:val="auto"/>
          <w:spacing w:val="-20"/>
          <w:kern w:val="0"/>
          <w:sz w:val="24"/>
          <w:szCs w:val="24"/>
          <w:highlight w:val="none"/>
        </w:rPr>
        <w:t>六、验收</w:t>
      </w:r>
    </w:p>
    <w:p w14:paraId="37C300CA">
      <w:pPr>
        <w:pStyle w:val="14"/>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内容完成后先由乙方进行自检，自检合格后邀请甲方进行验收。经甲方确认后，组织乙方（必要时请有关专家）进行最终验收，验收时乙方应派项目相关人员参加，双方共同对验收结果进行确认，并承担相关责任。验收合格后，双方签署项目验收单，本项目验收单为结算依据之一。</w:t>
      </w:r>
    </w:p>
    <w:p w14:paraId="70B691A7">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验收依据：</w:t>
      </w:r>
    </w:p>
    <w:p w14:paraId="4D656603">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1、竞争性磋商文件、竞争性磋商响应文件、澄清表（函）；</w:t>
      </w:r>
    </w:p>
    <w:p w14:paraId="43801FB0">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2、本合同及附件文本（包括但不限于满意度调查表）；</w:t>
      </w:r>
    </w:p>
    <w:p w14:paraId="4FAD754A">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3、国家相应的标准、规范。</w:t>
      </w:r>
    </w:p>
    <w:p w14:paraId="5DDFA84F">
      <w:pPr>
        <w:keepNext w:val="0"/>
        <w:keepLines w:val="0"/>
        <w:pageBreakBefore w:val="0"/>
        <w:widowControl w:val="0"/>
        <w:kinsoku/>
        <w:wordWrap/>
        <w:overflowPunct/>
        <w:topLinePunct w:val="0"/>
        <w:bidi w:val="0"/>
        <w:spacing w:line="360" w:lineRule="auto"/>
        <w:ind w:left="0" w:leftChars="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4、双方拟定的其他条款。</w:t>
      </w:r>
    </w:p>
    <w:p w14:paraId="76C37F5B">
      <w:pPr>
        <w:keepNext w:val="0"/>
        <w:keepLines w:val="0"/>
        <w:pageBreakBefore w:val="0"/>
        <w:widowControl w:val="0"/>
        <w:tabs>
          <w:tab w:val="left" w:pos="480"/>
        </w:tabs>
        <w:kinsoku/>
        <w:wordWrap/>
        <w:overflowPunct/>
        <w:topLinePunct w:val="0"/>
        <w:bidi w:val="0"/>
        <w:spacing w:line="360" w:lineRule="auto"/>
        <w:ind w:left="0" w:leftChars="0" w:firstLine="402" w:firstLineChars="200"/>
        <w:textAlignment w:val="auto"/>
        <w:rPr>
          <w:rFonts w:hint="eastAsia" w:ascii="仿宋" w:hAnsi="仿宋" w:eastAsia="仿宋" w:cs="仿宋"/>
          <w:b/>
          <w:color w:val="auto"/>
          <w:spacing w:val="-20"/>
          <w:kern w:val="0"/>
          <w:sz w:val="24"/>
          <w:szCs w:val="24"/>
          <w:highlight w:val="none"/>
        </w:rPr>
      </w:pPr>
      <w:r>
        <w:rPr>
          <w:rFonts w:hint="eastAsia" w:ascii="仿宋" w:hAnsi="仿宋" w:eastAsia="仿宋" w:cs="仿宋"/>
          <w:b/>
          <w:color w:val="auto"/>
          <w:spacing w:val="-20"/>
          <w:kern w:val="0"/>
          <w:sz w:val="24"/>
          <w:szCs w:val="24"/>
          <w:highlight w:val="none"/>
        </w:rPr>
        <w:t>七、违约责任</w:t>
      </w:r>
    </w:p>
    <w:p w14:paraId="11D3774D">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（一）按《民法典》中的相关条款及本合同的约定执行。</w:t>
      </w:r>
    </w:p>
    <w:p w14:paraId="34AEEB68">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（二）乙方未按本合同约定提供服务或服务质量不能满足合同要求的，乙方应承担违约责任并赔偿甲方的损失，且甲方有权解除合同， </w:t>
      </w:r>
    </w:p>
    <w:p w14:paraId="7C71C0E3">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（三）因乙方的原因造成侵权等所有纠纷的，由乙方承担所有责任；若甲方先行承担的，甲方有权向乙方追偿。</w:t>
      </w:r>
    </w:p>
    <w:p w14:paraId="073331C7">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（四）本合同所涉“违约责任”，系指支付本合同价款</w:t>
      </w:r>
      <w:r>
        <w:rPr>
          <w:rFonts w:hint="eastAsia" w:ascii="仿宋" w:hAnsi="仿宋" w:eastAsia="仿宋" w:cs="仿宋"/>
          <w:color w:val="auto"/>
          <w:sz w:val="24"/>
          <w:szCs w:val="24"/>
          <w:highlight w:val="none"/>
          <w:u w:val="single"/>
        </w:rPr>
        <w:t xml:space="preserve"> 30%</w:t>
      </w:r>
      <w:r>
        <w:rPr>
          <w:rFonts w:hint="eastAsia" w:ascii="仿宋" w:hAnsi="仿宋" w:eastAsia="仿宋" w:cs="仿宋"/>
          <w:color w:val="auto"/>
          <w:sz w:val="24"/>
          <w:szCs w:val="24"/>
          <w:highlight w:val="none"/>
        </w:rPr>
        <w:t>的违约金。</w:t>
      </w:r>
    </w:p>
    <w:p w14:paraId="4A65C5C4">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（五）本合同所涉“赔偿甲方的损失”，包括但不限于甲方重新采购产生的所有费用、经营损失、甲方维权费用（诉讼费、律师代理费、保全费等）等直接损失和间接损失。</w:t>
      </w:r>
    </w:p>
    <w:p w14:paraId="0070E989">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（六）解除本合同的，书面解除通知到达对方即解除。</w:t>
      </w:r>
    </w:p>
    <w:p w14:paraId="0782DD40">
      <w:pPr>
        <w:pStyle w:val="15"/>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color w:val="auto"/>
          <w:sz w:val="24"/>
          <w:szCs w:val="24"/>
          <w:highlight w:val="none"/>
        </w:rPr>
        <w:t>（七）双方拟定的其他条款。</w:t>
      </w:r>
    </w:p>
    <w:p w14:paraId="58283C2D">
      <w:pPr>
        <w:keepNext w:val="0"/>
        <w:keepLines w:val="0"/>
        <w:pageBreakBefore w:val="0"/>
        <w:widowControl w:val="0"/>
        <w:tabs>
          <w:tab w:val="left" w:pos="480"/>
        </w:tabs>
        <w:kinsoku/>
        <w:wordWrap/>
        <w:overflowPunct/>
        <w:topLinePunct w:val="0"/>
        <w:bidi w:val="0"/>
        <w:spacing w:line="360" w:lineRule="auto"/>
        <w:ind w:left="0" w:leftChars="0" w:firstLine="402" w:firstLineChars="200"/>
        <w:textAlignment w:val="auto"/>
        <w:rPr>
          <w:rFonts w:hint="eastAsia" w:ascii="仿宋" w:hAnsi="仿宋" w:eastAsia="仿宋" w:cs="仿宋"/>
          <w:b/>
          <w:color w:val="auto"/>
          <w:spacing w:val="-20"/>
          <w:kern w:val="0"/>
          <w:sz w:val="24"/>
          <w:szCs w:val="24"/>
          <w:highlight w:val="none"/>
        </w:rPr>
      </w:pPr>
      <w:r>
        <w:rPr>
          <w:rFonts w:hint="eastAsia" w:ascii="仿宋" w:hAnsi="仿宋" w:eastAsia="仿宋" w:cs="仿宋"/>
          <w:b/>
          <w:color w:val="auto"/>
          <w:spacing w:val="-20"/>
          <w:kern w:val="0"/>
          <w:sz w:val="24"/>
          <w:szCs w:val="24"/>
          <w:highlight w:val="none"/>
        </w:rPr>
        <w:t>八、保密条款</w:t>
      </w:r>
    </w:p>
    <w:p w14:paraId="191BBD33">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依法追究直接负责的主管人员和其他直接责任人员的责任。</w:t>
      </w:r>
    </w:p>
    <w:p w14:paraId="460ED695">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6EEACC0E">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（三）本条款为独立条款，本合同的无效、变更、解除和终止均不影响本条款的效力。</w:t>
      </w:r>
    </w:p>
    <w:p w14:paraId="50A79495">
      <w:pPr>
        <w:keepNext w:val="0"/>
        <w:keepLines w:val="0"/>
        <w:pageBreakBefore w:val="0"/>
        <w:widowControl w:val="0"/>
        <w:kinsoku/>
        <w:wordWrap/>
        <w:overflowPunct/>
        <w:topLinePunct w:val="0"/>
        <w:bidi w:val="0"/>
        <w:spacing w:line="360" w:lineRule="auto"/>
        <w:ind w:left="0" w:leftChars="0"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（四）双方拟定的其他条款。</w:t>
      </w:r>
    </w:p>
    <w:p w14:paraId="7621A62D">
      <w:pPr>
        <w:keepNext w:val="0"/>
        <w:keepLines w:val="0"/>
        <w:pageBreakBefore w:val="0"/>
        <w:widowControl w:val="0"/>
        <w:tabs>
          <w:tab w:val="left" w:pos="480"/>
        </w:tabs>
        <w:kinsoku/>
        <w:wordWrap/>
        <w:overflowPunct/>
        <w:topLinePunct w:val="0"/>
        <w:bidi w:val="0"/>
        <w:spacing w:line="360" w:lineRule="auto"/>
        <w:ind w:left="0" w:leftChars="0" w:firstLine="402" w:firstLineChars="200"/>
        <w:textAlignment w:val="auto"/>
        <w:rPr>
          <w:rFonts w:hint="eastAsia" w:ascii="仿宋" w:hAnsi="仿宋" w:eastAsia="仿宋" w:cs="仿宋"/>
          <w:b/>
          <w:color w:val="auto"/>
          <w:spacing w:val="-20"/>
          <w:kern w:val="0"/>
          <w:sz w:val="24"/>
          <w:szCs w:val="24"/>
          <w:highlight w:val="none"/>
        </w:rPr>
      </w:pPr>
      <w:r>
        <w:rPr>
          <w:rFonts w:hint="eastAsia" w:ascii="仿宋" w:hAnsi="仿宋" w:eastAsia="仿宋" w:cs="仿宋"/>
          <w:b/>
          <w:color w:val="auto"/>
          <w:spacing w:val="-20"/>
          <w:kern w:val="0"/>
          <w:sz w:val="24"/>
          <w:szCs w:val="24"/>
          <w:highlight w:val="none"/>
        </w:rPr>
        <w:t>九、争议解决</w:t>
      </w:r>
    </w:p>
    <w:p w14:paraId="1DA14CA8">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本合同在履行过程中发生的争议，由甲、乙双方当事人协商解决，协商不成的依法向</w:t>
      </w:r>
      <w:r>
        <w:rPr>
          <w:rFonts w:hint="eastAsia" w:ascii="仿宋" w:hAnsi="仿宋" w:eastAsia="仿宋" w:cs="仿宋"/>
          <w:color w:val="auto"/>
          <w:sz w:val="24"/>
          <w:szCs w:val="24"/>
          <w:highlight w:val="none"/>
          <w:u w:val="single"/>
        </w:rPr>
        <w:t>甲</w:t>
      </w:r>
      <w:r>
        <w:rPr>
          <w:rFonts w:hint="eastAsia" w:ascii="仿宋" w:hAnsi="仿宋" w:eastAsia="仿宋" w:cs="仿宋"/>
          <w:color w:val="auto"/>
          <w:sz w:val="24"/>
          <w:szCs w:val="24"/>
          <w:highlight w:val="none"/>
        </w:rPr>
        <w:t>方所在地人民法院起诉。</w:t>
      </w:r>
    </w:p>
    <w:p w14:paraId="522C2D14">
      <w:pPr>
        <w:keepNext w:val="0"/>
        <w:keepLines w:val="0"/>
        <w:pageBreakBefore w:val="0"/>
        <w:widowControl w:val="0"/>
        <w:kinsoku/>
        <w:wordWrap/>
        <w:overflowPunct/>
        <w:topLinePunct w:val="0"/>
        <w:bidi w:val="0"/>
        <w:spacing w:line="360" w:lineRule="auto"/>
        <w:ind w:left="0" w:leftChars="0"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十、关于送达的约定</w:t>
      </w:r>
    </w:p>
    <w:p w14:paraId="15BCF4F9">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（一）本合同项下甲乙双方任何一方向对方发出的通知、信件、数据电文等，依据下列地址、联系人和通信终端送达。</w:t>
      </w:r>
    </w:p>
    <w:p w14:paraId="6A97C6B2">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甲方联系人:XXX</w:t>
      </w:r>
    </w:p>
    <w:p w14:paraId="30A56C57">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联系电话:XXXXXXXXX</w:t>
      </w:r>
    </w:p>
    <w:p w14:paraId="425EEF3B">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联系地址:xxxxxxxxx，邮编:xxxxxx。</w:t>
      </w:r>
    </w:p>
    <w:p w14:paraId="52FF430D">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甲方(□同意□不同意)接受电子文件送达，电子终端信息如下:</w:t>
      </w:r>
    </w:p>
    <w:p w14:paraId="1889D916">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移动电话:xxxxxxxxx，传真: xxx-xxxxxx，微信号:xxxxxxxxx，</w:t>
      </w:r>
    </w:p>
    <w:p w14:paraId="5CCCEC5B">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电子邮箱:xxx@xxx.com。</w:t>
      </w:r>
    </w:p>
    <w:p w14:paraId="08E87CE2">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乙方联系人:xxx，</w:t>
      </w:r>
    </w:p>
    <w:p w14:paraId="59277E0D">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联系电话:xxxxxxxx，</w:t>
      </w:r>
    </w:p>
    <w:p w14:paraId="38EA82EF">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联系地址:xxxxxxxxx，邮编:xxxxxx。</w:t>
      </w:r>
    </w:p>
    <w:p w14:paraId="700445E2">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乙方(□同意□不同意)接受电子文件送达，电子终端信息如下:移动电话:xxxxxxxxx，传真:xxx-xxxxxx，微信号:xxxxxxxxx，</w:t>
      </w:r>
    </w:p>
    <w:p w14:paraId="7E9CF9A4">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电子邮箱:xxx@xxx.com。</w:t>
      </w:r>
    </w:p>
    <w:p w14:paraId="489CE5B9">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(二)送达情形遵守民诉法规定。</w:t>
      </w:r>
    </w:p>
    <w:p w14:paraId="614384A6">
      <w:pPr>
        <w:keepNext w:val="0"/>
        <w:keepLines w:val="0"/>
        <w:pageBreakBefore w:val="0"/>
        <w:widowControl w:val="0"/>
        <w:tabs>
          <w:tab w:val="left" w:pos="480"/>
        </w:tabs>
        <w:kinsoku/>
        <w:wordWrap/>
        <w:overflowPunct/>
        <w:topLinePunct w:val="0"/>
        <w:bidi w:val="0"/>
        <w:spacing w:line="360" w:lineRule="auto"/>
        <w:ind w:left="0" w:leftChars="0" w:firstLine="402" w:firstLineChars="200"/>
        <w:textAlignment w:val="auto"/>
        <w:rPr>
          <w:rFonts w:hint="eastAsia" w:ascii="仿宋" w:hAnsi="仿宋" w:eastAsia="仿宋" w:cs="仿宋"/>
          <w:b/>
          <w:color w:val="auto"/>
          <w:spacing w:val="-20"/>
          <w:kern w:val="0"/>
          <w:sz w:val="24"/>
          <w:szCs w:val="24"/>
          <w:highlight w:val="none"/>
        </w:rPr>
      </w:pPr>
      <w:r>
        <w:rPr>
          <w:rFonts w:hint="eastAsia" w:ascii="仿宋" w:hAnsi="仿宋" w:eastAsia="仿宋" w:cs="仿宋"/>
          <w:b/>
          <w:color w:val="auto"/>
          <w:spacing w:val="-20"/>
          <w:kern w:val="0"/>
          <w:sz w:val="24"/>
          <w:szCs w:val="24"/>
          <w:highlight w:val="none"/>
        </w:rPr>
        <w:t>十一、合同变更</w:t>
      </w:r>
    </w:p>
    <w:p w14:paraId="4B9ADDBD">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生效后，双方均不得擅自变更；确需变更的，双方应协商一致后签订书面变更协议，变更协议与本合同具有同等效力；但若双方就变更事项未达成一致意见的，仍应继续履行本合同，否则视为违约，应承担违约责任。</w:t>
      </w:r>
    </w:p>
    <w:p w14:paraId="20ECAD17">
      <w:pPr>
        <w:keepNext w:val="0"/>
        <w:keepLines w:val="0"/>
        <w:pageBreakBefore w:val="0"/>
        <w:widowControl w:val="0"/>
        <w:tabs>
          <w:tab w:val="left" w:pos="480"/>
        </w:tabs>
        <w:kinsoku/>
        <w:wordWrap/>
        <w:overflowPunct/>
        <w:topLinePunct w:val="0"/>
        <w:bidi w:val="0"/>
        <w:spacing w:line="360" w:lineRule="auto"/>
        <w:ind w:left="0" w:leftChars="0" w:firstLine="402" w:firstLineChars="200"/>
        <w:textAlignment w:val="auto"/>
        <w:rPr>
          <w:rFonts w:hint="eastAsia" w:ascii="仿宋" w:hAnsi="仿宋" w:eastAsia="仿宋" w:cs="仿宋"/>
          <w:b/>
          <w:color w:val="auto"/>
          <w:spacing w:val="-20"/>
          <w:kern w:val="0"/>
          <w:sz w:val="24"/>
          <w:szCs w:val="24"/>
          <w:highlight w:val="none"/>
        </w:rPr>
      </w:pPr>
      <w:r>
        <w:rPr>
          <w:rFonts w:hint="eastAsia" w:ascii="仿宋" w:hAnsi="仿宋" w:eastAsia="仿宋" w:cs="仿宋"/>
          <w:b/>
          <w:color w:val="auto"/>
          <w:spacing w:val="-20"/>
          <w:kern w:val="0"/>
          <w:sz w:val="24"/>
          <w:szCs w:val="24"/>
          <w:highlight w:val="none"/>
        </w:rPr>
        <w:t>十二、合同生效</w:t>
      </w:r>
    </w:p>
    <w:p w14:paraId="096D37C8">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本合同一柒份，甲方持</w:t>
      </w:r>
      <w:r>
        <w:rPr>
          <w:rFonts w:hint="eastAsia" w:ascii="仿宋" w:hAnsi="仿宋" w:eastAsia="仿宋" w:cs="仿宋"/>
          <w:color w:val="auto"/>
          <w:sz w:val="24"/>
          <w:szCs w:val="24"/>
          <w:highlight w:val="none"/>
          <w:u w:val="single"/>
        </w:rPr>
        <w:t>陆</w:t>
      </w:r>
      <w:r>
        <w:rPr>
          <w:rFonts w:hint="eastAsia" w:ascii="仿宋" w:hAnsi="仿宋" w:eastAsia="仿宋" w:cs="仿宋"/>
          <w:color w:val="auto"/>
          <w:sz w:val="24"/>
          <w:szCs w:val="24"/>
          <w:highlight w:val="none"/>
        </w:rPr>
        <w:t>份，乙方持</w:t>
      </w:r>
      <w:r>
        <w:rPr>
          <w:rFonts w:hint="eastAsia" w:ascii="仿宋" w:hAnsi="仿宋" w:eastAsia="仿宋" w:cs="仿宋"/>
          <w:color w:val="auto"/>
          <w:sz w:val="24"/>
          <w:szCs w:val="24"/>
          <w:highlight w:val="none"/>
          <w:u w:val="single"/>
        </w:rPr>
        <w:t>壹</w:t>
      </w:r>
      <w:r>
        <w:rPr>
          <w:rFonts w:hint="eastAsia" w:ascii="仿宋" w:hAnsi="仿宋" w:eastAsia="仿宋" w:cs="仿宋"/>
          <w:color w:val="auto"/>
          <w:sz w:val="24"/>
          <w:szCs w:val="24"/>
          <w:highlight w:val="none"/>
        </w:rPr>
        <w:t>份，具有同等效力；本合同自甲乙双方签字盖章最终日期之日起生效。</w:t>
      </w:r>
    </w:p>
    <w:p w14:paraId="24B653A8">
      <w:pPr>
        <w:keepNext w:val="0"/>
        <w:keepLines w:val="0"/>
        <w:pageBreakBefore w:val="0"/>
        <w:widowControl w:val="0"/>
        <w:tabs>
          <w:tab w:val="left" w:pos="480"/>
        </w:tabs>
        <w:kinsoku/>
        <w:wordWrap/>
        <w:overflowPunct/>
        <w:topLinePunct w:val="0"/>
        <w:bidi w:val="0"/>
        <w:spacing w:line="360" w:lineRule="auto"/>
        <w:ind w:left="0" w:leftChars="0" w:firstLine="402" w:firstLineChars="200"/>
        <w:textAlignment w:val="auto"/>
        <w:rPr>
          <w:rFonts w:hint="eastAsia" w:ascii="仿宋" w:hAnsi="仿宋" w:eastAsia="仿宋" w:cs="仿宋"/>
          <w:b/>
          <w:color w:val="auto"/>
          <w:spacing w:val="-20"/>
          <w:kern w:val="0"/>
          <w:sz w:val="24"/>
          <w:szCs w:val="24"/>
          <w:highlight w:val="none"/>
        </w:rPr>
      </w:pPr>
      <w:r>
        <w:rPr>
          <w:rFonts w:hint="eastAsia" w:ascii="仿宋" w:hAnsi="仿宋" w:eastAsia="仿宋" w:cs="仿宋"/>
          <w:b/>
          <w:color w:val="auto"/>
          <w:spacing w:val="-20"/>
          <w:kern w:val="0"/>
          <w:sz w:val="24"/>
          <w:szCs w:val="24"/>
          <w:highlight w:val="none"/>
        </w:rPr>
        <w:t>十三、其他事项</w:t>
      </w:r>
    </w:p>
    <w:p w14:paraId="1EA341F6">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（一）西安市财政局政府采购管理处在合同的履行期间以及履行期后，可以随时检查项目的执行情况，对采购标准、采购内容进行调查核实，并对发现的问题进行处理。</w:t>
      </w:r>
    </w:p>
    <w:p w14:paraId="0DCE82A6">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（二）竞争性磋商文件、竞争性磋商响应文件、澄清表（函）、成交通知书、合同附件均成为合同不可分割的部分。</w:t>
      </w:r>
    </w:p>
    <w:p w14:paraId="021C227E">
      <w:pPr>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（三）本合同未尽事宜，由甲、乙双方协商一致后签订补充协议，具有同等效力。</w:t>
      </w:r>
    </w:p>
    <w:p w14:paraId="76F27731">
      <w:pPr>
        <w:pStyle w:val="15"/>
        <w:keepNext w:val="0"/>
        <w:keepLines w:val="0"/>
        <w:pageBreakBefore w:val="0"/>
        <w:widowControl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合同执行完毕后，自动失效</w:t>
      </w:r>
      <w:r>
        <w:rPr>
          <w:rFonts w:hint="eastAsia" w:ascii="仿宋" w:hAnsi="仿宋" w:eastAsia="仿宋" w:cs="仿宋"/>
          <w:color w:val="auto"/>
          <w:sz w:val="24"/>
          <w:szCs w:val="24"/>
          <w:highlight w:val="none"/>
          <w:lang w:eastAsia="zh-CN"/>
        </w:rPr>
        <w:t>，但</w:t>
      </w:r>
      <w:r>
        <w:rPr>
          <w:rFonts w:hint="eastAsia" w:ascii="仿宋" w:hAnsi="仿宋" w:eastAsia="仿宋" w:cs="仿宋"/>
          <w:color w:val="auto"/>
          <w:sz w:val="24"/>
          <w:szCs w:val="24"/>
          <w:highlight w:val="none"/>
        </w:rPr>
        <w:t>合同的服务承诺</w:t>
      </w:r>
      <w:r>
        <w:rPr>
          <w:rFonts w:hint="eastAsia" w:ascii="仿宋" w:hAnsi="仿宋" w:eastAsia="仿宋" w:cs="仿宋"/>
          <w:color w:val="auto"/>
          <w:sz w:val="24"/>
          <w:szCs w:val="24"/>
          <w:highlight w:val="none"/>
          <w:lang w:eastAsia="zh-CN"/>
        </w:rPr>
        <w:t>应</w:t>
      </w:r>
      <w:r>
        <w:rPr>
          <w:rFonts w:hint="eastAsia" w:ascii="仿宋" w:hAnsi="仿宋" w:eastAsia="仿宋" w:cs="仿宋"/>
          <w:color w:val="auto"/>
          <w:sz w:val="24"/>
          <w:szCs w:val="24"/>
          <w:highlight w:val="none"/>
        </w:rPr>
        <w:t>长期有效。</w:t>
      </w:r>
    </w:p>
    <w:p w14:paraId="3FED5B6B">
      <w:pPr>
        <w:keepNext w:val="0"/>
        <w:keepLines w:val="0"/>
        <w:pageBreakBefore w:val="0"/>
        <w:widowControl w:val="0"/>
        <w:kinsoku/>
        <w:wordWrap/>
        <w:overflowPunct/>
        <w:topLinePunct w:val="0"/>
        <w:bidi w:val="0"/>
        <w:spacing w:line="360" w:lineRule="auto"/>
        <w:ind w:left="0" w:leftChars="0"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最后再次提醒：第二、三、四项内容必须与竞争性磋商文件对应条款及响应文件响应条款一致，第五至第九项优先按照竞争性磋商文件对应条款拟定，若投标响应内容优于竞争性磋商文件的按投标内容拟定，同时甲乙双方可协商补充内容，但必须优于竞争性磋商文件要求和响应文件响应内容，第十至十三项内容在不改变模板内容前提下甲乙双方可协商增加内容，若甲乙双方协商有除上述条款之外的其他条款请插入合理位置，同时注意调整序号。）</w:t>
      </w:r>
    </w:p>
    <w:tbl>
      <w:tblPr>
        <w:tblStyle w:val="18"/>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8"/>
        <w:gridCol w:w="4252"/>
      </w:tblGrid>
      <w:tr w14:paraId="0D403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5D3207B5">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52" w:type="dxa"/>
            <w:tcBorders>
              <w:top w:val="single" w:color="auto" w:sz="4" w:space="0"/>
              <w:left w:val="nil"/>
              <w:bottom w:val="single" w:color="auto" w:sz="4" w:space="0"/>
              <w:right w:val="single" w:color="auto" w:sz="4" w:space="0"/>
            </w:tcBorders>
            <w:noWrap w:val="0"/>
            <w:vAlign w:val="top"/>
          </w:tcPr>
          <w:p w14:paraId="7E1B80DC">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33E0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4368" w:type="dxa"/>
            <w:tcBorders>
              <w:top w:val="single" w:color="auto" w:sz="4" w:space="0"/>
              <w:left w:val="single" w:color="auto" w:sz="4" w:space="0"/>
              <w:bottom w:val="single" w:color="auto" w:sz="4" w:space="0"/>
              <w:right w:val="single" w:color="auto" w:sz="4" w:space="0"/>
            </w:tcBorders>
            <w:noWrap w:val="0"/>
            <w:vAlign w:val="center"/>
          </w:tcPr>
          <w:p w14:paraId="31D2F20B">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center"/>
              <w:textAlignment w:val="auto"/>
              <w:rPr>
                <w:rFonts w:hint="eastAsia" w:ascii="仿宋" w:hAnsi="仿宋" w:eastAsia="仿宋" w:cs="仿宋"/>
                <w:b/>
                <w:bCs/>
                <w:color w:val="auto"/>
                <w:spacing w:val="-20"/>
                <w:kern w:val="0"/>
                <w:sz w:val="24"/>
                <w:szCs w:val="24"/>
                <w:highlight w:val="none"/>
              </w:rPr>
            </w:pPr>
            <w:r>
              <w:rPr>
                <w:rFonts w:hint="eastAsia" w:ascii="仿宋" w:hAnsi="仿宋" w:eastAsia="仿宋" w:cs="仿宋"/>
                <w:color w:val="auto"/>
                <w:spacing w:val="-20"/>
                <w:kern w:val="0"/>
                <w:sz w:val="24"/>
                <w:szCs w:val="24"/>
                <w:highlight w:val="none"/>
              </w:rPr>
              <w:t>西安市第九医院</w:t>
            </w:r>
          </w:p>
          <w:p w14:paraId="2A51108E">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52" w:type="dxa"/>
            <w:tcBorders>
              <w:top w:val="single" w:color="auto" w:sz="4" w:space="0"/>
              <w:left w:val="nil"/>
              <w:bottom w:val="single" w:color="auto" w:sz="4" w:space="0"/>
              <w:right w:val="single" w:color="auto" w:sz="4" w:space="0"/>
            </w:tcBorders>
            <w:noWrap w:val="0"/>
            <w:vAlign w:val="center"/>
          </w:tcPr>
          <w:p w14:paraId="3DB17C32">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成交供应商全称</w:t>
            </w:r>
          </w:p>
          <w:p w14:paraId="3C314A4F">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619E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7B4E7DE0">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52" w:type="dxa"/>
            <w:tcBorders>
              <w:top w:val="single" w:color="auto" w:sz="4" w:space="0"/>
              <w:left w:val="nil"/>
              <w:bottom w:val="single" w:color="auto" w:sz="4" w:space="0"/>
              <w:right w:val="single" w:color="auto" w:sz="4" w:space="0"/>
            </w:tcBorders>
            <w:noWrap w:val="0"/>
            <w:vAlign w:val="top"/>
          </w:tcPr>
          <w:p w14:paraId="2225C72F">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26C54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74434574">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52" w:type="dxa"/>
            <w:tcBorders>
              <w:top w:val="single" w:color="auto" w:sz="4" w:space="0"/>
              <w:left w:val="nil"/>
              <w:bottom w:val="single" w:color="auto" w:sz="4" w:space="0"/>
              <w:right w:val="single" w:color="auto" w:sz="4" w:space="0"/>
            </w:tcBorders>
            <w:noWrap w:val="0"/>
            <w:vAlign w:val="top"/>
          </w:tcPr>
          <w:p w14:paraId="2F7D9CC9">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3027C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1BEF41BE">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承办人：（签字） </w:t>
            </w:r>
          </w:p>
        </w:tc>
        <w:tc>
          <w:tcPr>
            <w:tcW w:w="4252" w:type="dxa"/>
            <w:tcBorders>
              <w:top w:val="single" w:color="auto" w:sz="4" w:space="0"/>
              <w:left w:val="nil"/>
              <w:bottom w:val="single" w:color="auto" w:sz="4" w:space="0"/>
              <w:right w:val="single" w:color="auto" w:sz="4" w:space="0"/>
            </w:tcBorders>
            <w:noWrap w:val="0"/>
            <w:vAlign w:val="top"/>
          </w:tcPr>
          <w:p w14:paraId="4E9955AB">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被授权代表：（签字）</w:t>
            </w:r>
          </w:p>
        </w:tc>
      </w:tr>
      <w:tr w14:paraId="1DF53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7670AE89">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法定代表人或委托代理人</w:t>
            </w:r>
          </w:p>
          <w:p w14:paraId="11681E2B">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（主管院长）：（签字）</w:t>
            </w:r>
          </w:p>
        </w:tc>
        <w:tc>
          <w:tcPr>
            <w:tcW w:w="4252" w:type="dxa"/>
            <w:tcBorders>
              <w:top w:val="single" w:color="auto" w:sz="4" w:space="0"/>
              <w:left w:val="nil"/>
              <w:bottom w:val="single" w:color="auto" w:sz="4" w:space="0"/>
              <w:right w:val="single" w:color="auto" w:sz="4" w:space="0"/>
            </w:tcBorders>
            <w:noWrap w:val="0"/>
            <w:vAlign w:val="top"/>
          </w:tcPr>
          <w:p w14:paraId="70ED116B">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法定代表人：（签字）</w:t>
            </w:r>
          </w:p>
        </w:tc>
      </w:tr>
      <w:tr w14:paraId="1566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720E4780">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52" w:type="dxa"/>
            <w:tcBorders>
              <w:top w:val="single" w:color="auto" w:sz="4" w:space="0"/>
              <w:left w:val="nil"/>
              <w:bottom w:val="single" w:color="auto" w:sz="4" w:space="0"/>
              <w:right w:val="single" w:color="auto" w:sz="4" w:space="0"/>
            </w:tcBorders>
            <w:noWrap w:val="0"/>
            <w:vAlign w:val="top"/>
          </w:tcPr>
          <w:p w14:paraId="073CA183">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28B3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5E3D9039">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52" w:type="dxa"/>
            <w:tcBorders>
              <w:top w:val="single" w:color="auto" w:sz="4" w:space="0"/>
              <w:left w:val="nil"/>
              <w:bottom w:val="single" w:color="auto" w:sz="4" w:space="0"/>
              <w:right w:val="single" w:color="auto" w:sz="4" w:space="0"/>
            </w:tcBorders>
            <w:noWrap w:val="0"/>
            <w:vAlign w:val="top"/>
          </w:tcPr>
          <w:p w14:paraId="23088243">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386D8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34DE1A8F">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lang w:eastAsia="zh-CN"/>
              </w:rPr>
              <w:t>账</w:t>
            </w:r>
            <w:r>
              <w:rPr>
                <w:rFonts w:hint="eastAsia" w:ascii="仿宋" w:hAnsi="仿宋" w:eastAsia="仿宋" w:cs="仿宋"/>
                <w:color w:val="auto"/>
                <w:spacing w:val="-20"/>
                <w:kern w:val="0"/>
                <w:sz w:val="24"/>
                <w:szCs w:val="24"/>
                <w:highlight w:val="none"/>
              </w:rPr>
              <w:t>号：</w:t>
            </w:r>
          </w:p>
        </w:tc>
        <w:tc>
          <w:tcPr>
            <w:tcW w:w="4252" w:type="dxa"/>
            <w:tcBorders>
              <w:top w:val="single" w:color="auto" w:sz="4" w:space="0"/>
              <w:left w:val="nil"/>
              <w:bottom w:val="single" w:color="auto" w:sz="4" w:space="0"/>
              <w:right w:val="single" w:color="auto" w:sz="4" w:space="0"/>
            </w:tcBorders>
            <w:noWrap w:val="0"/>
            <w:vAlign w:val="top"/>
          </w:tcPr>
          <w:p w14:paraId="48974F68">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lang w:eastAsia="zh-CN"/>
              </w:rPr>
              <w:t>账</w:t>
            </w:r>
            <w:r>
              <w:rPr>
                <w:rFonts w:hint="eastAsia" w:ascii="仿宋" w:hAnsi="仿宋" w:eastAsia="仿宋" w:cs="仿宋"/>
                <w:color w:val="auto"/>
                <w:spacing w:val="-20"/>
                <w:kern w:val="0"/>
                <w:sz w:val="24"/>
                <w:szCs w:val="24"/>
                <w:highlight w:val="none"/>
              </w:rPr>
              <w:t>号：</w:t>
            </w:r>
          </w:p>
        </w:tc>
      </w:tr>
      <w:tr w14:paraId="0D82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22BDC401">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   年   月   日</w:t>
            </w:r>
          </w:p>
        </w:tc>
        <w:tc>
          <w:tcPr>
            <w:tcW w:w="4252" w:type="dxa"/>
            <w:tcBorders>
              <w:top w:val="single" w:color="auto" w:sz="4" w:space="0"/>
              <w:left w:val="nil"/>
              <w:bottom w:val="single" w:color="auto" w:sz="4" w:space="0"/>
              <w:right w:val="single" w:color="auto" w:sz="4" w:space="0"/>
            </w:tcBorders>
            <w:noWrap w:val="0"/>
            <w:vAlign w:val="top"/>
          </w:tcPr>
          <w:p w14:paraId="32F56E92">
            <w:pPr>
              <w:keepNext w:val="0"/>
              <w:keepLines w:val="0"/>
              <w:pageBreakBefore w:val="0"/>
              <w:widowControl w:val="0"/>
              <w:kinsoku/>
              <w:wordWrap/>
              <w:overflowPunct/>
              <w:topLinePunct w:val="0"/>
              <w:autoSpaceDE w:val="0"/>
              <w:autoSpaceDN w:val="0"/>
              <w:bidi w:val="0"/>
              <w:adjustRightInd w:val="0"/>
              <w:spacing w:line="360" w:lineRule="auto"/>
              <w:ind w:left="0" w:leftChars="0" w:firstLine="400" w:firstLineChars="20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   年   月   日</w:t>
            </w:r>
          </w:p>
        </w:tc>
      </w:tr>
    </w:tbl>
    <w:p w14:paraId="0F363EE1">
      <w:pPr>
        <w:keepNext w:val="0"/>
        <w:keepLines w:val="0"/>
        <w:pageBreakBefore w:val="0"/>
        <w:widowControl w:val="0"/>
        <w:kinsoku/>
        <w:wordWrap/>
        <w:overflowPunct/>
        <w:topLinePunct w:val="0"/>
        <w:bidi w:val="0"/>
        <w:spacing w:line="360" w:lineRule="auto"/>
        <w:jc w:val="center"/>
        <w:textAlignment w:val="auto"/>
        <w:rPr>
          <w:rFonts w:hint="eastAsia" w:ascii="仿宋" w:hAnsi="仿宋" w:eastAsia="仿宋" w:cs="仿宋"/>
          <w:b/>
          <w:color w:val="auto"/>
          <w:sz w:val="36"/>
          <w:szCs w:val="36"/>
          <w:highlight w:val="none"/>
        </w:rPr>
      </w:pPr>
      <w:r>
        <w:rPr>
          <w:rFonts w:hint="eastAsia" w:ascii="仿宋" w:hAnsi="仿宋" w:eastAsia="仿宋" w:cs="仿宋"/>
          <w:color w:val="auto"/>
          <w:sz w:val="24"/>
          <w:szCs w:val="24"/>
          <w:highlight w:val="none"/>
          <w:lang w:val="en-US" w:eastAsia="zh-CN"/>
        </w:rPr>
        <w:br w:type="page"/>
      </w:r>
      <w:r>
        <w:rPr>
          <w:rFonts w:hint="eastAsia" w:ascii="仿宋" w:hAnsi="仿宋" w:eastAsia="仿宋" w:cs="仿宋"/>
          <w:b/>
          <w:color w:val="auto"/>
          <w:sz w:val="36"/>
          <w:szCs w:val="36"/>
          <w:highlight w:val="none"/>
        </w:rPr>
        <w:t>西安市政府采购供应商</w:t>
      </w:r>
    </w:p>
    <w:p w14:paraId="782AD0F9">
      <w:pPr>
        <w:keepNext w:val="0"/>
        <w:keepLines w:val="0"/>
        <w:pageBreakBefore w:val="0"/>
        <w:widowControl w:val="0"/>
        <w:kinsoku/>
        <w:wordWrap/>
        <w:overflowPunct/>
        <w:topLinePunct w:val="0"/>
        <w:bidi w:val="0"/>
        <w:spacing w:line="360" w:lineRule="auto"/>
        <w:jc w:val="center"/>
        <w:textAlignment w:val="auto"/>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拒绝政府采购领域商业贿赂承诺书</w:t>
      </w:r>
    </w:p>
    <w:p w14:paraId="1F995BC1">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为响应党中央、国务院关于治理政府采购领域商业贿赂行为的号召，我公司在此承诺：</w:t>
      </w:r>
    </w:p>
    <w:p w14:paraId="59F55AB3">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一、在参与政府采购活动中遵纪守法、诚信经营、公平竞标。</w:t>
      </w:r>
    </w:p>
    <w:p w14:paraId="4085B448">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二、不向政府采购人、采购代理机构和政府采购评审专家进行任何形式的商业贿赂以谋取交易机会。</w:t>
      </w:r>
    </w:p>
    <w:p w14:paraId="1F75A8DF">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三、不向政府采购代理机构和采购人提供虚假资质文件或采用虚假应标方式参与政府采购市场竞争并谋取中标、成交。</w:t>
      </w:r>
    </w:p>
    <w:p w14:paraId="5F7C596D">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四、不采取“围标、陪标”等商业欺诈手段获取政府采购订单；</w:t>
      </w:r>
    </w:p>
    <w:p w14:paraId="589F5E28">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五、不采取不正当手段诋毁、排挤其他供应商。</w:t>
      </w:r>
    </w:p>
    <w:p w14:paraId="5EF5CC32">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六、不在提供商品和服务时“偷梁换柱、以次充好”损害采购人的合法权益。</w:t>
      </w:r>
    </w:p>
    <w:p w14:paraId="78D797CC">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七、不与采购人、采购代理机构、政府采购评审专家或其他供应商恶意串通，进行质疑和投诉，维护政府采购市场秩序。</w:t>
      </w:r>
    </w:p>
    <w:p w14:paraId="1268E663">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八、尊重和接受政府采购监督管理部门的监督和政府采购代理机构招标采购要求，承担因违约行为给采购人造成的损失。</w:t>
      </w:r>
    </w:p>
    <w:p w14:paraId="72B35E8F">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九、不发生其他有悖于政府采购公开、公平、公正和诚信原则的行为。</w:t>
      </w:r>
    </w:p>
    <w:p w14:paraId="3546E0F9">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承诺单位：（盖章）</w:t>
      </w:r>
    </w:p>
    <w:p w14:paraId="04E6FBD4">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rPr>
        <w:t>法定代表人或被授权人</w:t>
      </w:r>
      <w:r>
        <w:rPr>
          <w:rFonts w:hint="eastAsia" w:ascii="仿宋" w:hAnsi="仿宋" w:eastAsia="仿宋" w:cs="仿宋"/>
          <w:color w:val="auto"/>
          <w:sz w:val="28"/>
          <w:szCs w:val="28"/>
          <w:highlight w:val="none"/>
        </w:rPr>
        <w:t>：（签字或盖章）</w:t>
      </w:r>
    </w:p>
    <w:p w14:paraId="4F44FB1F">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地址：                             </w:t>
      </w:r>
    </w:p>
    <w:p w14:paraId="4FF7717E">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电话：     </w:t>
      </w:r>
    </w:p>
    <w:p w14:paraId="279E60BF">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邮编：                                   </w:t>
      </w:r>
    </w:p>
    <w:p w14:paraId="2A2DD9B1">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022D59"/>
    <w:rsid w:val="534B638F"/>
    <w:rsid w:val="53F21995"/>
    <w:rsid w:val="5418220F"/>
    <w:rsid w:val="546045FE"/>
    <w:rsid w:val="554D5290"/>
    <w:rsid w:val="56296E24"/>
    <w:rsid w:val="569B4C2B"/>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2"/>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20"/>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1"/>
    <w:link w:val="21"/>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5">
    <w:name w:val="heading 4"/>
    <w:basedOn w:val="1"/>
    <w:next w:val="1"/>
    <w:link w:val="23"/>
    <w:semiHidden/>
    <w:unhideWhenUsed/>
    <w:qFormat/>
    <w:uiPriority w:val="0"/>
    <w:pPr>
      <w:spacing w:line="360" w:lineRule="auto"/>
      <w:jc w:val="both"/>
      <w:outlineLvl w:val="3"/>
    </w:pPr>
    <w:rPr>
      <w:rFonts w:ascii="仿宋" w:hAnsi="仿宋" w:cs="Arial"/>
      <w:b/>
      <w:snapToGrid w:val="0"/>
      <w:color w:val="000000"/>
      <w:szCs w:val="21"/>
    </w:rPr>
  </w:style>
  <w:style w:type="paragraph" w:styleId="6">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7">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9">
    <w:name w:val="Default Paragraph Font"/>
    <w:semiHidden/>
    <w:unhideWhenUsed/>
    <w:qFormat/>
    <w:uiPriority w:val="1"/>
  </w:style>
  <w:style w:type="table" w:default="1" w:styleId="18">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qFormat/>
    <w:uiPriority w:val="0"/>
    <w:pPr>
      <w:spacing w:after="120" w:afterLines="0" w:afterAutospacing="0"/>
    </w:pPr>
  </w:style>
  <w:style w:type="paragraph" w:styleId="14">
    <w:name w:val="Plain Text"/>
    <w:basedOn w:val="1"/>
    <w:qFormat/>
    <w:uiPriority w:val="99"/>
    <w:pPr>
      <w:spacing w:line="324" w:lineRule="auto"/>
    </w:pPr>
    <w:rPr>
      <w:rFonts w:ascii="宋体" w:hAnsi="Courier New" w:eastAsia="仿宋"/>
      <w:sz w:val="32"/>
      <w:szCs w:val="21"/>
    </w:rPr>
  </w:style>
  <w:style w:type="paragraph" w:styleId="1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6">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7">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customStyle="1" w:styleId="20">
    <w:name w:val="标题 2 Char1"/>
    <w:link w:val="3"/>
    <w:qFormat/>
    <w:uiPriority w:val="0"/>
    <w:rPr>
      <w:rFonts w:ascii="Arial" w:hAnsi="Arial" w:eastAsia="宋体" w:cs="Times New Roman"/>
      <w:b/>
      <w:bCs/>
      <w:kern w:val="0"/>
      <w:sz w:val="36"/>
      <w:szCs w:val="22"/>
      <w:lang w:val="zh-CN" w:bidi="zh-CN"/>
    </w:rPr>
  </w:style>
  <w:style w:type="character" w:customStyle="1" w:styleId="21">
    <w:name w:val="标题 3 Char"/>
    <w:basedOn w:val="19"/>
    <w:link w:val="4"/>
    <w:qFormat/>
    <w:uiPriority w:val="0"/>
    <w:rPr>
      <w:rFonts w:ascii="Times New Roman" w:hAnsi="Times New Roman" w:eastAsia="宋体" w:cs="Times New Roman"/>
      <w:b/>
      <w:bCs/>
      <w:kern w:val="2"/>
      <w:sz w:val="32"/>
      <w:szCs w:val="32"/>
    </w:rPr>
  </w:style>
  <w:style w:type="character" w:customStyle="1" w:styleId="22">
    <w:name w:val="标题 1 Char"/>
    <w:basedOn w:val="19"/>
    <w:link w:val="2"/>
    <w:qFormat/>
    <w:uiPriority w:val="0"/>
    <w:rPr>
      <w:rFonts w:ascii="黑体" w:hAnsi="黑体" w:eastAsia="宋体" w:cs="Times New Roman"/>
      <w:b/>
      <w:kern w:val="2"/>
      <w:sz w:val="36"/>
      <w:szCs w:val="24"/>
    </w:rPr>
  </w:style>
  <w:style w:type="character" w:customStyle="1" w:styleId="23">
    <w:name w:val="标题 4 Char"/>
    <w:basedOn w:val="19"/>
    <w:link w:val="5"/>
    <w:qFormat/>
    <w:uiPriority w:val="0"/>
    <w:rPr>
      <w:rFonts w:ascii="宋体" w:hAnsi="宋体" w:eastAsia="宋体" w:cs="Arial"/>
      <w:b/>
      <w:snapToGrid w:val="0"/>
      <w:color w:val="000000"/>
      <w:kern w:val="0"/>
      <w:sz w:val="30"/>
      <w:szCs w:val="21"/>
      <w:u w:val="none"/>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8</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2026-01-30T07:38:56Z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CC53DDA9B2814F3D9A54F2FFF46D679A</vt:lpwstr>
  </property>
  <property fmtid="{D5CDD505-2E9C-101B-9397-08002B2CF9AE}" pid="4" name="KSOTemplateDocerSaveRecord">
    <vt:lpwstr>eyJoZGlkIjoiMTIzYjBkMDE0MDUwZWU1MDYzY2M0YTJiMmIyMWQyNDYiLCJ1c2VySWQiOiI5MTQ3Njg1NjkifQ==</vt:lpwstr>
  </property>
</Properties>
</file>