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29245">
      <w:pPr>
        <w:pStyle w:val="6"/>
        <w:rPr>
          <w:rFonts w:hint="eastAsia" w:ascii="宋体" w:hAnsi="宋体" w:eastAsia="宋体" w:cs="宋体"/>
          <w:bCs/>
          <w:color w:val="000000"/>
          <w:sz w:val="72"/>
          <w:szCs w:val="72"/>
        </w:rPr>
      </w:pPr>
    </w:p>
    <w:p w14:paraId="72994A08">
      <w:pPr>
        <w:pStyle w:val="6"/>
        <w:rPr>
          <w:rFonts w:hint="eastAsia" w:ascii="宋体" w:hAnsi="宋体" w:eastAsia="宋体" w:cs="宋体"/>
          <w:bCs/>
          <w:color w:val="000000"/>
          <w:sz w:val="72"/>
          <w:szCs w:val="72"/>
        </w:rPr>
      </w:pPr>
    </w:p>
    <w:p w14:paraId="3EAE958C">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bCs/>
          <w:sz w:val="52"/>
          <w:szCs w:val="52"/>
        </w:rPr>
      </w:pPr>
      <w:r>
        <w:rPr>
          <w:rFonts w:hint="eastAsia" w:ascii="仿宋" w:hAnsi="仿宋" w:eastAsia="仿宋" w:cs="仿宋"/>
          <w:b/>
          <w:sz w:val="52"/>
          <w:szCs w:val="52"/>
        </w:rPr>
        <w:t>西安商贸旅游技师学院烹饪系、食品系实训课原材料采购项目</w:t>
      </w:r>
      <w:r>
        <w:rPr>
          <w:rFonts w:hint="eastAsia" w:ascii="仿宋" w:hAnsi="仿宋" w:eastAsia="仿宋" w:cs="仿宋"/>
          <w:b/>
          <w:sz w:val="52"/>
          <w:szCs w:val="52"/>
          <w:lang w:eastAsia="zh-CN"/>
        </w:rPr>
        <w:t>（</w:t>
      </w:r>
      <w:r>
        <w:rPr>
          <w:rFonts w:hint="eastAsia" w:ascii="仿宋" w:hAnsi="仿宋" w:eastAsia="仿宋" w:cs="仿宋"/>
          <w:b/>
          <w:sz w:val="52"/>
          <w:szCs w:val="52"/>
          <w:lang w:val="en-US" w:eastAsia="zh-CN"/>
        </w:rPr>
        <w:t>二次</w:t>
      </w:r>
      <w:r>
        <w:rPr>
          <w:rFonts w:hint="eastAsia" w:ascii="仿宋" w:hAnsi="仿宋" w:eastAsia="仿宋" w:cs="仿宋"/>
          <w:b/>
          <w:sz w:val="52"/>
          <w:szCs w:val="52"/>
          <w:lang w:eastAsia="zh-CN"/>
        </w:rPr>
        <w:t>）</w:t>
      </w:r>
      <w:r>
        <w:rPr>
          <w:rFonts w:hint="eastAsia" w:ascii="仿宋" w:hAnsi="仿宋" w:eastAsia="仿宋" w:cs="仿宋"/>
          <w:b/>
          <w:sz w:val="52"/>
          <w:szCs w:val="52"/>
        </w:rPr>
        <w:t>合同书</w:t>
      </w:r>
    </w:p>
    <w:p w14:paraId="4C24A3A4">
      <w:pPr>
        <w:keepNext w:val="0"/>
        <w:keepLines w:val="0"/>
        <w:pageBreakBefore w:val="0"/>
        <w:kinsoku/>
        <w:wordWrap/>
        <w:overflowPunct/>
        <w:topLinePunct w:val="0"/>
        <w:bidi w:val="0"/>
        <w:spacing w:line="520" w:lineRule="exact"/>
        <w:ind w:firstLine="640"/>
        <w:rPr>
          <w:rFonts w:hint="eastAsia" w:ascii="宋体" w:hAnsi="宋体" w:eastAsia="宋体" w:cs="宋体"/>
          <w:bCs/>
          <w:sz w:val="32"/>
        </w:rPr>
      </w:pPr>
    </w:p>
    <w:p w14:paraId="0CFE7DB7">
      <w:pPr>
        <w:keepNext w:val="0"/>
        <w:keepLines w:val="0"/>
        <w:pageBreakBefore w:val="0"/>
        <w:kinsoku/>
        <w:wordWrap/>
        <w:overflowPunct/>
        <w:topLinePunct w:val="0"/>
        <w:bidi w:val="0"/>
        <w:spacing w:line="520" w:lineRule="exact"/>
        <w:rPr>
          <w:rFonts w:hint="eastAsia" w:ascii="宋体" w:hAnsi="宋体" w:eastAsia="宋体" w:cs="宋体"/>
          <w:bCs/>
          <w:sz w:val="32"/>
        </w:rPr>
      </w:pPr>
    </w:p>
    <w:p w14:paraId="2C5FE7B9">
      <w:pPr>
        <w:keepNext w:val="0"/>
        <w:keepLines w:val="0"/>
        <w:pageBreakBefore w:val="0"/>
        <w:kinsoku/>
        <w:wordWrap/>
        <w:overflowPunct/>
        <w:topLinePunct w:val="0"/>
        <w:bidi w:val="0"/>
        <w:spacing w:line="520" w:lineRule="exact"/>
        <w:rPr>
          <w:rFonts w:hint="eastAsia" w:ascii="宋体" w:hAnsi="宋体" w:eastAsia="宋体" w:cs="宋体"/>
          <w:bCs/>
          <w:sz w:val="32"/>
        </w:rPr>
      </w:pPr>
    </w:p>
    <w:p w14:paraId="6F6755BB">
      <w:pPr>
        <w:keepNext w:val="0"/>
        <w:keepLines w:val="0"/>
        <w:pageBreakBefore w:val="0"/>
        <w:kinsoku/>
        <w:wordWrap/>
        <w:overflowPunct/>
        <w:topLinePunct w:val="0"/>
        <w:bidi w:val="0"/>
        <w:spacing w:line="520" w:lineRule="exact"/>
        <w:ind w:right="-483" w:rightChars="-230" w:firstLine="560" w:firstLineChars="200"/>
        <w:jc w:val="left"/>
        <w:rPr>
          <w:rFonts w:hint="eastAsia" w:ascii="宋体" w:hAnsi="宋体" w:eastAsia="宋体" w:cs="宋体"/>
          <w:bCs/>
          <w:sz w:val="28"/>
          <w:szCs w:val="28"/>
        </w:rPr>
      </w:pPr>
    </w:p>
    <w:p w14:paraId="15E45BA0">
      <w:pPr>
        <w:keepNext w:val="0"/>
        <w:keepLines w:val="0"/>
        <w:pageBreakBefore w:val="0"/>
        <w:kinsoku/>
        <w:wordWrap/>
        <w:overflowPunct/>
        <w:topLinePunct w:val="0"/>
        <w:bidi w:val="0"/>
        <w:spacing w:line="520" w:lineRule="exact"/>
        <w:ind w:right="-483" w:rightChars="-230" w:firstLine="560" w:firstLineChars="200"/>
        <w:jc w:val="left"/>
        <w:rPr>
          <w:rFonts w:hint="eastAsia" w:ascii="宋体" w:hAnsi="宋体" w:eastAsia="宋体" w:cs="宋体"/>
          <w:bCs/>
          <w:sz w:val="28"/>
          <w:szCs w:val="28"/>
        </w:rPr>
      </w:pPr>
    </w:p>
    <w:p w14:paraId="3CA06F7A">
      <w:pPr>
        <w:keepNext w:val="0"/>
        <w:keepLines w:val="0"/>
        <w:pageBreakBefore w:val="0"/>
        <w:kinsoku/>
        <w:wordWrap/>
        <w:overflowPunct/>
        <w:topLinePunct w:val="0"/>
        <w:bidi w:val="0"/>
        <w:spacing w:line="520" w:lineRule="exact"/>
        <w:ind w:right="-483" w:rightChars="-230" w:firstLine="560" w:firstLineChars="200"/>
        <w:jc w:val="left"/>
        <w:rPr>
          <w:rFonts w:hint="eastAsia" w:ascii="宋体" w:hAnsi="宋体" w:eastAsia="宋体" w:cs="宋体"/>
          <w:bCs/>
          <w:sz w:val="28"/>
          <w:szCs w:val="28"/>
        </w:rPr>
      </w:pPr>
    </w:p>
    <w:p w14:paraId="6450490D">
      <w:pPr>
        <w:pStyle w:val="3"/>
        <w:keepNext w:val="0"/>
        <w:keepLines w:val="0"/>
        <w:pageBreakBefore w:val="0"/>
        <w:kinsoku/>
        <w:wordWrap/>
        <w:overflowPunct/>
        <w:topLinePunct w:val="0"/>
        <w:bidi w:val="0"/>
        <w:spacing w:line="520" w:lineRule="exact"/>
        <w:rPr>
          <w:rFonts w:hint="eastAsia" w:ascii="宋体" w:hAnsi="宋体" w:eastAsia="宋体" w:cs="宋体"/>
        </w:rPr>
      </w:pPr>
    </w:p>
    <w:p w14:paraId="646B6D91">
      <w:pPr>
        <w:pStyle w:val="6"/>
        <w:rPr>
          <w:rFonts w:hint="eastAsia" w:ascii="宋体" w:hAnsi="宋体" w:eastAsia="宋体" w:cs="宋体"/>
        </w:rPr>
      </w:pPr>
    </w:p>
    <w:p w14:paraId="2AB8406D">
      <w:pPr>
        <w:pStyle w:val="6"/>
        <w:rPr>
          <w:rFonts w:hint="eastAsia" w:ascii="宋体" w:hAnsi="宋体" w:eastAsia="宋体" w:cs="宋体"/>
        </w:rPr>
      </w:pPr>
    </w:p>
    <w:p w14:paraId="25CB78D0">
      <w:pPr>
        <w:pStyle w:val="6"/>
        <w:rPr>
          <w:rFonts w:hint="eastAsia" w:ascii="宋体" w:hAnsi="宋体" w:eastAsia="宋体" w:cs="宋体"/>
        </w:rPr>
      </w:pPr>
    </w:p>
    <w:p w14:paraId="18124E30">
      <w:pPr>
        <w:rPr>
          <w:rFonts w:hint="eastAsia"/>
        </w:rPr>
      </w:pPr>
    </w:p>
    <w:p w14:paraId="096A6A05">
      <w:pPr>
        <w:keepNext w:val="0"/>
        <w:keepLines w:val="0"/>
        <w:pageBreakBefore w:val="0"/>
        <w:kinsoku/>
        <w:wordWrap/>
        <w:overflowPunct/>
        <w:topLinePunct w:val="0"/>
        <w:bidi w:val="0"/>
        <w:spacing w:line="520" w:lineRule="exact"/>
        <w:ind w:right="-483" w:rightChars="-230" w:firstLine="560" w:firstLineChars="200"/>
        <w:jc w:val="left"/>
        <w:rPr>
          <w:rFonts w:hint="eastAsia" w:ascii="宋体" w:hAnsi="宋体" w:eastAsia="宋体" w:cs="宋体"/>
          <w:bCs/>
          <w:sz w:val="28"/>
          <w:szCs w:val="28"/>
        </w:rPr>
      </w:pPr>
    </w:p>
    <w:p w14:paraId="0DBF04C0">
      <w:pPr>
        <w:keepNext w:val="0"/>
        <w:keepLines w:val="0"/>
        <w:pageBreakBefore w:val="0"/>
        <w:widowControl/>
        <w:kinsoku/>
        <w:wordWrap/>
        <w:overflowPunct/>
        <w:topLinePunct w:val="0"/>
        <w:autoSpaceDE w:val="0"/>
        <w:autoSpaceDN w:val="0"/>
        <w:bidi w:val="0"/>
        <w:spacing w:line="520" w:lineRule="exact"/>
        <w:ind w:left="630" w:leftChars="300" w:firstLine="320" w:firstLineChars="100"/>
        <w:textAlignment w:val="bottom"/>
        <w:outlineLvl w:val="0"/>
        <w:rPr>
          <w:rFonts w:hint="eastAsia" w:ascii="宋体" w:hAnsi="宋体" w:eastAsia="宋体" w:cs="宋体"/>
          <w:bCs/>
          <w:sz w:val="32"/>
          <w:szCs w:val="32"/>
        </w:rPr>
      </w:pPr>
      <w:r>
        <w:rPr>
          <w:rFonts w:hint="eastAsia" w:ascii="宋体" w:hAnsi="宋体" w:eastAsia="宋体" w:cs="宋体"/>
          <w:bCs/>
          <w:sz w:val="32"/>
          <w:szCs w:val="32"/>
        </w:rPr>
        <w:t>甲    方：</w:t>
      </w:r>
      <w:r>
        <w:rPr>
          <w:rFonts w:hint="eastAsia" w:ascii="宋体" w:hAnsi="宋体" w:eastAsia="宋体" w:cs="宋体"/>
          <w:bCs/>
          <w:sz w:val="32"/>
          <w:szCs w:val="32"/>
          <w:lang w:val="zh-CN"/>
        </w:rPr>
        <w:t>西安商贸旅游技师学院</w:t>
      </w:r>
    </w:p>
    <w:p w14:paraId="378DEBD7">
      <w:pPr>
        <w:keepNext w:val="0"/>
        <w:keepLines w:val="0"/>
        <w:pageBreakBefore w:val="0"/>
        <w:widowControl/>
        <w:kinsoku/>
        <w:wordWrap/>
        <w:overflowPunct/>
        <w:topLinePunct w:val="0"/>
        <w:autoSpaceDE w:val="0"/>
        <w:autoSpaceDN w:val="0"/>
        <w:bidi w:val="0"/>
        <w:spacing w:line="520" w:lineRule="exact"/>
        <w:ind w:left="630" w:leftChars="300" w:firstLine="320" w:firstLineChars="100"/>
        <w:textAlignment w:val="bottom"/>
        <w:outlineLvl w:val="0"/>
        <w:rPr>
          <w:rFonts w:hint="default" w:ascii="宋体" w:hAnsi="宋体" w:eastAsia="宋体" w:cs="宋体"/>
          <w:bCs/>
          <w:sz w:val="32"/>
          <w:szCs w:val="32"/>
          <w:lang w:val="en-US" w:eastAsia="zh-CN"/>
        </w:rPr>
      </w:pPr>
      <w:r>
        <w:rPr>
          <w:rFonts w:hint="eastAsia" w:ascii="宋体" w:hAnsi="宋体" w:eastAsia="宋体" w:cs="宋体"/>
          <w:bCs/>
          <w:sz w:val="32"/>
          <w:szCs w:val="32"/>
        </w:rPr>
        <w:t>乙    方：</w:t>
      </w:r>
    </w:p>
    <w:p w14:paraId="00339BE3">
      <w:pPr>
        <w:pStyle w:val="2"/>
        <w:rPr>
          <w:rFonts w:hint="eastAsia" w:ascii="宋体" w:hAnsi="宋体" w:cs="宋体"/>
          <w:bCs/>
          <w:sz w:val="32"/>
          <w:szCs w:val="32"/>
          <w:lang w:eastAsia="zh-CN"/>
        </w:rPr>
      </w:pPr>
    </w:p>
    <w:p w14:paraId="1EA64174">
      <w:pPr>
        <w:pStyle w:val="2"/>
        <w:rPr>
          <w:rFonts w:hint="eastAsia" w:ascii="宋体" w:hAnsi="宋体" w:cs="宋体"/>
          <w:bCs/>
          <w:sz w:val="32"/>
          <w:szCs w:val="32"/>
          <w:lang w:val="en-US" w:eastAsia="zh-CN"/>
        </w:rPr>
      </w:pPr>
    </w:p>
    <w:p w14:paraId="5F281F71">
      <w:pPr>
        <w:keepNext w:val="0"/>
        <w:keepLines w:val="0"/>
        <w:pageBreakBefore w:val="0"/>
        <w:kinsoku/>
        <w:wordWrap/>
        <w:overflowPunct/>
        <w:topLinePunct w:val="0"/>
        <w:bidi w:val="0"/>
        <w:spacing w:line="520" w:lineRule="exact"/>
        <w:jc w:val="center"/>
        <w:rPr>
          <w:rFonts w:hint="eastAsia" w:ascii="宋体" w:hAnsi="宋体" w:eastAsia="宋体" w:cs="宋体"/>
          <w:b/>
          <w:sz w:val="32"/>
          <w:szCs w:val="32"/>
        </w:rPr>
        <w:sectPr>
          <w:pgSz w:w="11906" w:h="16838"/>
          <w:pgMar w:top="1440" w:right="1800" w:bottom="1440" w:left="1800" w:header="851" w:footer="992" w:gutter="0"/>
          <w:pgNumType w:fmt="decimal" w:start="1"/>
          <w:cols w:space="425" w:num="1"/>
          <w:docGrid w:type="lines" w:linePitch="312" w:charSpace="0"/>
        </w:sectPr>
      </w:pPr>
    </w:p>
    <w:p w14:paraId="4CF8B073">
      <w:pPr>
        <w:keepNext w:val="0"/>
        <w:keepLines w:val="0"/>
        <w:pageBreakBefore w:val="0"/>
        <w:widowControl w:val="0"/>
        <w:kinsoku/>
        <w:wordWrap/>
        <w:overflowPunct/>
        <w:topLinePunct w:val="0"/>
        <w:bidi w:val="0"/>
        <w:spacing w:line="480" w:lineRule="exact"/>
        <w:jc w:val="center"/>
        <w:textAlignment w:val="auto"/>
        <w:rPr>
          <w:rFonts w:hint="eastAsia" w:ascii="宋体" w:hAnsi="宋体" w:eastAsia="宋体" w:cs="宋体"/>
          <w:b/>
          <w:sz w:val="32"/>
          <w:szCs w:val="32"/>
        </w:rPr>
      </w:pPr>
      <w:r>
        <w:rPr>
          <w:rFonts w:hint="eastAsia" w:ascii="宋体" w:hAnsi="宋体" w:eastAsia="宋体" w:cs="宋体"/>
          <w:b/>
          <w:sz w:val="32"/>
          <w:szCs w:val="32"/>
        </w:rPr>
        <w:t>西安商贸旅游技师学院烹饪系、食品系实训课原材料</w:t>
      </w:r>
    </w:p>
    <w:p w14:paraId="6416C436">
      <w:pPr>
        <w:keepNext w:val="0"/>
        <w:keepLines w:val="0"/>
        <w:pageBreakBefore w:val="0"/>
        <w:widowControl w:val="0"/>
        <w:kinsoku/>
        <w:wordWrap/>
        <w:overflowPunct/>
        <w:topLinePunct w:val="0"/>
        <w:bidi w:val="0"/>
        <w:spacing w:line="480" w:lineRule="exact"/>
        <w:jc w:val="center"/>
        <w:textAlignment w:val="auto"/>
        <w:rPr>
          <w:rFonts w:hint="eastAsia" w:ascii="宋体" w:hAnsi="宋体" w:eastAsia="宋体" w:cs="宋体"/>
          <w:bCs/>
          <w:sz w:val="32"/>
          <w:szCs w:val="32"/>
        </w:rPr>
      </w:pPr>
      <w:r>
        <w:rPr>
          <w:rFonts w:hint="eastAsia" w:ascii="宋体" w:hAnsi="宋体" w:eastAsia="宋体" w:cs="宋体"/>
          <w:b/>
          <w:sz w:val="32"/>
          <w:szCs w:val="32"/>
        </w:rPr>
        <w:t>采购项目</w:t>
      </w:r>
      <w:r>
        <w:rPr>
          <w:rFonts w:hint="eastAsia" w:ascii="宋体" w:hAnsi="宋体" w:cs="宋体"/>
          <w:b/>
          <w:sz w:val="32"/>
          <w:szCs w:val="32"/>
          <w:lang w:eastAsia="zh-CN"/>
        </w:rPr>
        <w:t>（</w:t>
      </w:r>
      <w:r>
        <w:rPr>
          <w:rFonts w:hint="eastAsia" w:ascii="宋体" w:hAnsi="宋体" w:cs="宋体"/>
          <w:b/>
          <w:sz w:val="32"/>
          <w:szCs w:val="32"/>
          <w:lang w:val="en-US" w:eastAsia="zh-CN"/>
        </w:rPr>
        <w:t>二次</w:t>
      </w:r>
      <w:r>
        <w:rPr>
          <w:rFonts w:hint="eastAsia" w:ascii="宋体" w:hAnsi="宋体" w:cs="宋体"/>
          <w:b/>
          <w:sz w:val="32"/>
          <w:szCs w:val="32"/>
          <w:lang w:eastAsia="zh-CN"/>
        </w:rPr>
        <w:t>）</w:t>
      </w:r>
      <w:r>
        <w:rPr>
          <w:rFonts w:hint="eastAsia" w:ascii="宋体" w:hAnsi="宋体" w:eastAsia="宋体" w:cs="宋体"/>
          <w:b/>
          <w:sz w:val="32"/>
          <w:szCs w:val="32"/>
        </w:rPr>
        <w:t>合同书</w:t>
      </w:r>
    </w:p>
    <w:p w14:paraId="1ADC0941">
      <w:pPr>
        <w:keepNext w:val="0"/>
        <w:keepLines w:val="0"/>
        <w:pageBreakBefore w:val="0"/>
        <w:widowControl w:val="0"/>
        <w:kinsoku/>
        <w:wordWrap/>
        <w:overflowPunct/>
        <w:topLinePunct w:val="0"/>
        <w:bidi w:val="0"/>
        <w:spacing w:line="520" w:lineRule="exact"/>
        <w:textAlignment w:val="auto"/>
        <w:rPr>
          <w:rFonts w:hint="eastAsia" w:ascii="宋体" w:hAnsi="宋体" w:eastAsia="宋体" w:cs="宋体"/>
          <w:bCs/>
          <w:sz w:val="28"/>
          <w:szCs w:val="28"/>
        </w:rPr>
      </w:pPr>
    </w:p>
    <w:p w14:paraId="3D2E9534">
      <w:pPr>
        <w:keepNext w:val="0"/>
        <w:keepLines w:val="0"/>
        <w:pageBreakBefore w:val="0"/>
        <w:widowControl w:val="0"/>
        <w:kinsoku/>
        <w:wordWrap/>
        <w:overflowPunct/>
        <w:topLinePunct w:val="0"/>
        <w:bidi w:val="0"/>
        <w:spacing w:line="480" w:lineRule="exact"/>
        <w:textAlignment w:val="auto"/>
        <w:rPr>
          <w:rFonts w:hint="eastAsia" w:ascii="宋体" w:hAnsi="宋体" w:eastAsia="宋体" w:cs="宋体"/>
          <w:bCs/>
          <w:sz w:val="24"/>
          <w:szCs w:val="24"/>
        </w:rPr>
      </w:pPr>
      <w:r>
        <w:rPr>
          <w:rFonts w:hint="eastAsia" w:ascii="宋体" w:hAnsi="宋体" w:eastAsia="宋体" w:cs="宋体"/>
          <w:bCs/>
          <w:sz w:val="24"/>
          <w:szCs w:val="24"/>
        </w:rPr>
        <w:t>甲  方（委托单位）：</w:t>
      </w:r>
      <w:r>
        <w:rPr>
          <w:rFonts w:hint="eastAsia" w:ascii="宋体" w:hAnsi="宋体" w:eastAsia="宋体" w:cs="宋体"/>
          <w:bCs/>
          <w:sz w:val="24"/>
          <w:szCs w:val="24"/>
          <w:lang w:eastAsia="zh-CN"/>
        </w:rPr>
        <w:t>西安商贸旅游技师学院</w:t>
      </w:r>
      <w:r>
        <w:rPr>
          <w:rFonts w:hint="eastAsia" w:ascii="宋体" w:hAnsi="宋体" w:eastAsia="宋体" w:cs="宋体"/>
          <w:bCs/>
          <w:sz w:val="24"/>
          <w:szCs w:val="24"/>
        </w:rPr>
        <w:t xml:space="preserve">  </w:t>
      </w:r>
    </w:p>
    <w:p w14:paraId="67441D1E">
      <w:pPr>
        <w:keepNext w:val="0"/>
        <w:keepLines w:val="0"/>
        <w:pageBreakBefore w:val="0"/>
        <w:widowControl w:val="0"/>
        <w:kinsoku/>
        <w:wordWrap/>
        <w:overflowPunct/>
        <w:topLinePunct w:val="0"/>
        <w:bidi w:val="0"/>
        <w:spacing w:line="480" w:lineRule="exact"/>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地  址：西安市碑林区南关正街99号</w:t>
      </w:r>
    </w:p>
    <w:p w14:paraId="33CB4AEC">
      <w:pPr>
        <w:keepNext w:val="0"/>
        <w:keepLines w:val="0"/>
        <w:pageBreakBefore w:val="0"/>
        <w:widowControl w:val="0"/>
        <w:kinsoku/>
        <w:wordWrap/>
        <w:overflowPunct/>
        <w:topLinePunct w:val="0"/>
        <w:bidi w:val="0"/>
        <w:spacing w:line="480" w:lineRule="exact"/>
        <w:textAlignment w:val="auto"/>
        <w:rPr>
          <w:rFonts w:hint="eastAsia" w:ascii="宋体" w:hAnsi="宋体" w:eastAsia="宋体" w:cs="宋体"/>
          <w:bCs/>
          <w:sz w:val="24"/>
          <w:szCs w:val="24"/>
          <w:highlight w:val="none"/>
          <w:lang w:val="en-US" w:eastAsia="zh-CN"/>
        </w:rPr>
      </w:pPr>
    </w:p>
    <w:p w14:paraId="191DCC56">
      <w:pPr>
        <w:keepNext w:val="0"/>
        <w:keepLines w:val="0"/>
        <w:pageBreakBefore w:val="0"/>
        <w:widowControl w:val="0"/>
        <w:kinsoku/>
        <w:wordWrap/>
        <w:overflowPunct/>
        <w:topLinePunct w:val="0"/>
        <w:bidi w:val="0"/>
        <w:spacing w:line="480" w:lineRule="exact"/>
        <w:textAlignment w:val="auto"/>
        <w:rPr>
          <w:rFonts w:hint="default" w:ascii="宋体" w:hAnsi="宋体" w:eastAsia="宋体" w:cs="宋体"/>
          <w:bCs/>
          <w:color w:val="000000"/>
          <w:sz w:val="24"/>
          <w:szCs w:val="24"/>
          <w:lang w:val="en-US" w:eastAsia="zh-CN"/>
        </w:rPr>
      </w:pPr>
      <w:r>
        <w:rPr>
          <w:rFonts w:hint="eastAsia" w:ascii="宋体" w:hAnsi="宋体" w:eastAsia="宋体" w:cs="宋体"/>
          <w:bCs/>
          <w:sz w:val="24"/>
          <w:szCs w:val="24"/>
          <w:highlight w:val="none"/>
          <w:lang w:val="en-US" w:eastAsia="zh-CN"/>
        </w:rPr>
        <w:t>乙</w:t>
      </w:r>
      <w:r>
        <w:rPr>
          <w:rFonts w:hint="eastAsia" w:ascii="宋体" w:hAnsi="宋体" w:eastAsia="宋体" w:cs="宋体"/>
          <w:bCs/>
          <w:sz w:val="24"/>
          <w:szCs w:val="24"/>
          <w:highlight w:val="none"/>
        </w:rPr>
        <w:t xml:space="preserve">  方</w:t>
      </w:r>
      <w:r>
        <w:rPr>
          <w:rFonts w:hint="eastAsia" w:ascii="宋体" w:hAnsi="宋体" w:eastAsia="宋体" w:cs="宋体"/>
          <w:bCs/>
          <w:sz w:val="24"/>
          <w:szCs w:val="24"/>
        </w:rPr>
        <w:t>（受托单位）：</w:t>
      </w:r>
    </w:p>
    <w:p w14:paraId="3A587687">
      <w:pPr>
        <w:keepNext w:val="0"/>
        <w:keepLines w:val="0"/>
        <w:pageBreakBefore w:val="0"/>
        <w:widowControl w:val="0"/>
        <w:kinsoku/>
        <w:wordWrap/>
        <w:overflowPunct/>
        <w:topLinePunct w:val="0"/>
        <w:bidi w:val="0"/>
        <w:spacing w:line="480" w:lineRule="exact"/>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地  址：</w:t>
      </w:r>
    </w:p>
    <w:p w14:paraId="2CC99E8C">
      <w:pPr>
        <w:pStyle w:val="2"/>
        <w:keepNext w:val="0"/>
        <w:keepLines w:val="0"/>
        <w:pageBreakBefore w:val="0"/>
        <w:kinsoku/>
        <w:wordWrap/>
        <w:overflowPunct/>
        <w:topLinePunct w:val="0"/>
        <w:bidi w:val="0"/>
        <w:spacing w:line="480" w:lineRule="exact"/>
        <w:ind w:left="0" w:leftChars="0" w:firstLine="0" w:firstLineChars="0"/>
        <w:textAlignment w:val="auto"/>
        <w:rPr>
          <w:rFonts w:hint="eastAsia" w:ascii="宋体" w:hAnsi="宋体" w:eastAsia="宋体" w:cs="宋体"/>
          <w:bCs/>
          <w:color w:val="000000"/>
          <w:sz w:val="24"/>
          <w:szCs w:val="24"/>
        </w:rPr>
      </w:pPr>
    </w:p>
    <w:p w14:paraId="3D76104D">
      <w:pPr>
        <w:pStyle w:val="2"/>
        <w:keepNext w:val="0"/>
        <w:keepLines w:val="0"/>
        <w:pageBreakBefore w:val="0"/>
        <w:kinsoku/>
        <w:wordWrap/>
        <w:overflowPunct/>
        <w:topLinePunct w:val="0"/>
        <w:bidi w:val="0"/>
        <w:spacing w:line="480" w:lineRule="exact"/>
        <w:ind w:left="0" w:leftChars="0" w:firstLine="0" w:firstLineChars="0"/>
        <w:textAlignment w:val="auto"/>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鉴证方：陕西明正招标有限公司</w:t>
      </w:r>
    </w:p>
    <w:p w14:paraId="1A2A1DAD">
      <w:pPr>
        <w:keepNext w:val="0"/>
        <w:keepLines w:val="0"/>
        <w:pageBreakBefore w:val="0"/>
        <w:widowControl w:val="0"/>
        <w:kinsoku/>
        <w:wordWrap/>
        <w:overflowPunct/>
        <w:topLinePunct w:val="0"/>
        <w:bidi w:val="0"/>
        <w:spacing w:line="480" w:lineRule="exac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color w:val="000000"/>
          <w:sz w:val="24"/>
          <w:szCs w:val="24"/>
        </w:rPr>
        <w:t>地  址：</w:t>
      </w:r>
      <w:r>
        <w:rPr>
          <w:rFonts w:hint="eastAsia" w:ascii="宋体" w:hAnsi="宋体" w:eastAsia="宋体" w:cs="宋体"/>
          <w:bCs/>
          <w:kern w:val="2"/>
          <w:sz w:val="24"/>
          <w:szCs w:val="24"/>
          <w:lang w:val="en-US" w:eastAsia="zh-CN" w:bidi="ar-SA"/>
        </w:rPr>
        <w:t>西安市雁塔区二环南路西段88号老三届世纪星大厦30层AB座</w:t>
      </w:r>
    </w:p>
    <w:p w14:paraId="3D23DEF9">
      <w:pPr>
        <w:pStyle w:val="2"/>
        <w:keepNext w:val="0"/>
        <w:keepLines w:val="0"/>
        <w:pageBreakBefore w:val="0"/>
        <w:kinsoku/>
        <w:wordWrap/>
        <w:overflowPunct/>
        <w:topLinePunct w:val="0"/>
        <w:bidi w:val="0"/>
        <w:spacing w:line="480" w:lineRule="exact"/>
        <w:textAlignment w:val="auto"/>
        <w:rPr>
          <w:rFonts w:hint="eastAsia"/>
          <w:sz w:val="24"/>
          <w:szCs w:val="24"/>
          <w:lang w:val="zh-CN"/>
        </w:rPr>
      </w:pPr>
    </w:p>
    <w:p w14:paraId="1CBEFC27">
      <w:pPr>
        <w:keepNext w:val="0"/>
        <w:keepLines w:val="0"/>
        <w:pageBreakBefore w:val="0"/>
        <w:widowControl w:val="0"/>
        <w:kinsoku/>
        <w:wordWrap/>
        <w:overflowPunct/>
        <w:topLinePunct w:val="0"/>
        <w:autoSpaceDE w:val="0"/>
        <w:autoSpaceDN w:val="0"/>
        <w:bidi w:val="0"/>
        <w:adjustRightInd w:val="0"/>
        <w:snapToGrid w:val="0"/>
        <w:spacing w:line="480" w:lineRule="exact"/>
        <w:ind w:firstLine="480" w:firstLineChars="200"/>
        <w:jc w:val="left"/>
        <w:textAlignment w:val="auto"/>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项目名称：</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(项目编号：</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）由陕西明正招标有限公司组织竞争性谈判采购，</w:t>
      </w:r>
      <w:r>
        <w:rPr>
          <w:rFonts w:hint="eastAsia" w:ascii="宋体" w:hAnsi="宋体" w:eastAsia="宋体" w:cs="宋体"/>
          <w:bCs/>
          <w:kern w:val="2"/>
          <w:sz w:val="24"/>
          <w:szCs w:val="24"/>
          <w:u w:val="single"/>
          <w:lang w:val="en-US" w:eastAsia="zh-CN" w:bidi="ar-SA"/>
        </w:rPr>
        <w:t xml:space="preserve">  西安商贸旅游技师学院  </w:t>
      </w:r>
      <w:r>
        <w:rPr>
          <w:rFonts w:hint="eastAsia" w:ascii="宋体" w:hAnsi="宋体" w:eastAsia="宋体" w:cs="宋体"/>
          <w:bCs/>
          <w:kern w:val="2"/>
          <w:sz w:val="24"/>
          <w:szCs w:val="24"/>
          <w:lang w:val="en-US" w:eastAsia="zh-CN" w:bidi="ar-SA"/>
        </w:rPr>
        <w:t>(以下简称“甲方”),确定</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（以下简称“乙方”）为成交供应商。</w:t>
      </w:r>
    </w:p>
    <w:p w14:paraId="29891FDB">
      <w:pPr>
        <w:keepNext w:val="0"/>
        <w:keepLines w:val="0"/>
        <w:pageBreakBefore w:val="0"/>
        <w:widowControl w:val="0"/>
        <w:kinsoku/>
        <w:wordWrap/>
        <w:overflowPunct/>
        <w:topLinePunct w:val="0"/>
        <w:autoSpaceDE w:val="0"/>
        <w:autoSpaceDN w:val="0"/>
        <w:bidi w:val="0"/>
        <w:adjustRightInd w:val="0"/>
        <w:snapToGrid w:val="0"/>
        <w:spacing w:line="480" w:lineRule="exact"/>
        <w:ind w:firstLine="480" w:firstLineChars="200"/>
        <w:jc w:val="left"/>
        <w:textAlignment w:val="auto"/>
        <w:rPr>
          <w:rFonts w:hint="eastAsia" w:ascii="宋体" w:hAnsi="宋体" w:eastAsia="宋体" w:cs="宋体"/>
          <w:b/>
          <w:bCs/>
          <w:sz w:val="24"/>
          <w:szCs w:val="24"/>
        </w:rPr>
      </w:pPr>
      <w:r>
        <w:rPr>
          <w:rFonts w:hint="eastAsia" w:ascii="宋体" w:hAnsi="宋体" w:eastAsia="宋体" w:cs="宋体"/>
          <w:bCs/>
          <w:sz w:val="24"/>
          <w:szCs w:val="24"/>
          <w:lang w:val="zh-CN"/>
        </w:rPr>
        <w:t>甲乙双方根据</w:t>
      </w:r>
      <w:r>
        <w:rPr>
          <w:rFonts w:hint="eastAsia" w:ascii="宋体" w:hAnsi="宋体" w:eastAsia="宋体" w:cs="宋体"/>
          <w:sz w:val="24"/>
          <w:szCs w:val="24"/>
        </w:rPr>
        <w:t>《中华人民共和国民法典》</w:t>
      </w:r>
      <w:r>
        <w:rPr>
          <w:rFonts w:hint="eastAsia" w:ascii="宋体" w:hAnsi="宋体" w:eastAsia="宋体" w:cs="宋体"/>
          <w:bCs/>
          <w:sz w:val="24"/>
          <w:szCs w:val="24"/>
          <w:lang w:val="zh-CN"/>
        </w:rPr>
        <w:t>及相关法规、政策，就甲方委托乙方提供</w:t>
      </w:r>
      <w:r>
        <w:rPr>
          <w:rFonts w:hint="eastAsia" w:ascii="宋体" w:hAnsi="宋体" w:eastAsia="宋体" w:cs="宋体"/>
          <w:bCs/>
          <w:sz w:val="24"/>
          <w:szCs w:val="24"/>
        </w:rPr>
        <w:t>西安商贸旅游技师学院烹饪系、食品系实训课原材料采购项目</w:t>
      </w:r>
      <w:r>
        <w:rPr>
          <w:rFonts w:hint="eastAsia" w:ascii="宋体" w:hAnsi="宋体" w:eastAsia="宋体" w:cs="宋体"/>
          <w:bCs/>
          <w:sz w:val="24"/>
          <w:szCs w:val="24"/>
          <w:lang w:val="zh-CN"/>
        </w:rPr>
        <w:t>服务，</w:t>
      </w:r>
      <w:r>
        <w:rPr>
          <w:rFonts w:hint="eastAsia" w:ascii="宋体" w:hAnsi="宋体" w:eastAsia="宋体" w:cs="宋体"/>
          <w:bCs/>
          <w:sz w:val="24"/>
          <w:szCs w:val="24"/>
        </w:rPr>
        <w:t>双方</w:t>
      </w:r>
      <w:r>
        <w:rPr>
          <w:rFonts w:hint="eastAsia" w:ascii="宋体" w:hAnsi="宋体" w:eastAsia="宋体" w:cs="宋体"/>
          <w:bCs/>
          <w:sz w:val="24"/>
          <w:szCs w:val="24"/>
          <w:lang w:val="zh-CN"/>
        </w:rPr>
        <w:t>在“诚实信用、平等互利”的原则下，达成并共同遵守以下条款：</w:t>
      </w:r>
    </w:p>
    <w:p w14:paraId="5D1823B8">
      <w:pPr>
        <w:keepNext w:val="0"/>
        <w:keepLines w:val="0"/>
        <w:pageBreakBefore w:val="0"/>
        <w:widowControl w:val="0"/>
        <w:kinsoku/>
        <w:wordWrap/>
        <w:overflowPunct/>
        <w:topLinePunct w:val="0"/>
        <w:bidi w:val="0"/>
        <w:snapToGrid w:val="0"/>
        <w:spacing w:line="48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第一条  合同内容</w:t>
      </w:r>
    </w:p>
    <w:p w14:paraId="5E763103">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（一）乙方负责按照合同中明确的食材</w:t>
      </w:r>
      <w:r>
        <w:rPr>
          <w:rFonts w:hint="eastAsia" w:ascii="宋体" w:hAnsi="宋体" w:eastAsia="宋体" w:cs="宋体"/>
          <w:sz w:val="24"/>
          <w:szCs w:val="24"/>
          <w:lang w:val="en-US" w:eastAsia="zh-CN"/>
        </w:rPr>
        <w:t>（详见附件一）</w:t>
      </w:r>
      <w:r>
        <w:rPr>
          <w:rFonts w:hint="eastAsia" w:ascii="宋体" w:hAnsi="宋体" w:eastAsia="宋体" w:cs="宋体"/>
          <w:bCs/>
          <w:kern w:val="2"/>
          <w:sz w:val="24"/>
          <w:szCs w:val="24"/>
          <w:lang w:val="en-US" w:eastAsia="zh-CN" w:bidi="ar-SA"/>
        </w:rPr>
        <w:t>名称、品牌、产地、规格，依照</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计划数量进行供货；按时运到</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指定的交货地点，并配合</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验收人员，对所送食材进行初步验收。</w:t>
      </w:r>
    </w:p>
    <w:p w14:paraId="2AFC98EC">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480" w:firstLineChars="200"/>
        <w:jc w:val="left"/>
        <w:textAlignment w:val="auto"/>
        <w:rPr>
          <w:rFonts w:hint="eastAsia" w:ascii="宋体" w:hAnsi="宋体" w:cs="宋体"/>
          <w:color w:val="auto"/>
          <w:sz w:val="24"/>
          <w:szCs w:val="24"/>
          <w:highlight w:val="none"/>
        </w:rPr>
      </w:pPr>
      <w:r>
        <w:rPr>
          <w:rFonts w:hint="eastAsia" w:ascii="宋体" w:hAnsi="宋体" w:eastAsia="宋体" w:cs="宋体"/>
          <w:bCs/>
          <w:color w:val="auto"/>
          <w:kern w:val="2"/>
          <w:sz w:val="24"/>
          <w:szCs w:val="24"/>
          <w:lang w:val="en-US" w:eastAsia="zh-CN" w:bidi="ar-SA"/>
        </w:rPr>
        <w:t>（二）采购文件、乙方的响应文件及评审过程中的澄清表（函）、承诺内容均作为本合同的组成部分，具有同等法律效力。</w:t>
      </w:r>
    </w:p>
    <w:p w14:paraId="6D8465BF">
      <w:pPr>
        <w:keepNext w:val="0"/>
        <w:keepLines w:val="0"/>
        <w:pageBreakBefore w:val="0"/>
        <w:widowControl w:val="0"/>
        <w:kinsoku/>
        <w:wordWrap/>
        <w:overflowPunct/>
        <w:topLinePunct w:val="0"/>
        <w:autoSpaceDE/>
        <w:autoSpaceDN/>
        <w:bidi w:val="0"/>
        <w:adjustRightInd/>
        <w:snapToGrid w:val="0"/>
        <w:spacing w:line="48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第二条  合同价款</w:t>
      </w:r>
    </w:p>
    <w:p w14:paraId="1A227E2D">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（一）合同价包括但不限于产品费、配送费、装卸费、人工费等履行合同产生的一切相关费用。</w:t>
      </w:r>
    </w:p>
    <w:p w14:paraId="76FF8A3E">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（二）合同执行过程中以实际采购数量和合同单价为准进行结算。</w:t>
      </w:r>
    </w:p>
    <w:p w14:paraId="08F12D86">
      <w:pPr>
        <w:keepNext w:val="0"/>
        <w:keepLines w:val="0"/>
        <w:pageBreakBefore w:val="0"/>
        <w:widowControl w:val="0"/>
        <w:kinsoku/>
        <w:wordWrap/>
        <w:overflowPunct/>
        <w:topLinePunct w:val="0"/>
        <w:autoSpaceDE/>
        <w:autoSpaceDN/>
        <w:bidi w:val="0"/>
        <w:adjustRightInd/>
        <w:snapToGrid w:val="0"/>
        <w:spacing w:line="48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第三条  款项结算</w:t>
      </w:r>
    </w:p>
    <w:p w14:paraId="76C584D3">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default" w:ascii="宋体" w:hAnsi="宋体" w:eastAsia="宋体" w:cs="宋体"/>
          <w:bCs/>
          <w:color w:val="auto"/>
          <w:kern w:val="2"/>
          <w:sz w:val="24"/>
          <w:szCs w:val="24"/>
          <w:lang w:val="en-US" w:eastAsia="zh-CN" w:bidi="ar-SA"/>
        </w:rPr>
      </w:pPr>
      <w:r>
        <w:rPr>
          <w:rFonts w:hint="eastAsia" w:ascii="宋体" w:hAnsi="宋体" w:cs="宋体"/>
          <w:bCs/>
          <w:kern w:val="2"/>
          <w:sz w:val="24"/>
          <w:szCs w:val="24"/>
          <w:lang w:val="en-US" w:eastAsia="zh-CN" w:bidi="ar-SA"/>
        </w:rPr>
        <w:t>1.</w:t>
      </w:r>
      <w:r>
        <w:rPr>
          <w:rFonts w:hint="eastAsia" w:ascii="宋体" w:hAnsi="宋体" w:eastAsia="宋体" w:cs="宋体"/>
          <w:bCs/>
          <w:kern w:val="2"/>
          <w:sz w:val="24"/>
          <w:szCs w:val="24"/>
          <w:lang w:val="en-US" w:eastAsia="zh-CN" w:bidi="ar-SA"/>
        </w:rPr>
        <w:t>结算方式：</w:t>
      </w:r>
      <w:r>
        <w:rPr>
          <w:rFonts w:hint="eastAsia" w:ascii="宋体" w:hAnsi="宋体" w:eastAsia="宋体" w:cs="宋体"/>
          <w:b w:val="0"/>
          <w:bCs/>
          <w:color w:val="auto"/>
          <w:sz w:val="24"/>
          <w:szCs w:val="24"/>
          <w:highlight w:val="none"/>
          <w:lang w:val="en-US" w:eastAsia="zh-CN"/>
        </w:rPr>
        <w:t>各品类的</w:t>
      </w:r>
      <w:r>
        <w:rPr>
          <w:rFonts w:hint="eastAsia" w:ascii="宋体" w:hAnsi="宋体" w:cs="宋体"/>
          <w:b w:val="0"/>
          <w:bCs/>
          <w:color w:val="auto"/>
          <w:sz w:val="24"/>
          <w:szCs w:val="24"/>
          <w:highlight w:val="none"/>
          <w:lang w:val="en-US" w:eastAsia="zh-CN"/>
        </w:rPr>
        <w:t>零售价</w:t>
      </w:r>
      <w:r>
        <w:rPr>
          <w:rFonts w:hint="eastAsia" w:ascii="宋体" w:hAnsi="宋体" w:eastAsia="宋体" w:cs="宋体"/>
          <w:b w:val="0"/>
          <w:bCs/>
          <w:color w:val="auto"/>
          <w:sz w:val="24"/>
          <w:szCs w:val="24"/>
          <w:highlight w:val="none"/>
          <w:lang w:val="en-US" w:eastAsia="zh-CN"/>
        </w:rPr>
        <w:t>报价以</w:t>
      </w:r>
      <w:r>
        <w:rPr>
          <w:rFonts w:hint="eastAsia" w:ascii="宋体" w:hAnsi="宋体" w:cs="宋体"/>
          <w:b w:val="0"/>
          <w:bCs/>
          <w:color w:val="auto"/>
          <w:sz w:val="24"/>
          <w:szCs w:val="24"/>
          <w:highlight w:val="none"/>
          <w:lang w:val="en-US" w:eastAsia="zh-CN"/>
        </w:rPr>
        <w:t>当</w:t>
      </w:r>
      <w:r>
        <w:rPr>
          <w:rFonts w:hint="eastAsia" w:ascii="宋体" w:hAnsi="宋体" w:eastAsia="宋体" w:cs="宋体"/>
          <w:b w:val="0"/>
          <w:bCs/>
          <w:color w:val="auto"/>
          <w:sz w:val="24"/>
          <w:szCs w:val="24"/>
          <w:highlight w:val="none"/>
          <w:lang w:val="en-US" w:eastAsia="zh-CN"/>
        </w:rPr>
        <w:t>月</w:t>
      </w:r>
      <w:r>
        <w:rPr>
          <w:rFonts w:hint="eastAsia" w:ascii="宋体" w:hAnsi="宋体" w:cs="宋体"/>
          <w:b w:val="0"/>
          <w:bCs/>
          <w:color w:val="auto"/>
          <w:sz w:val="24"/>
          <w:szCs w:val="24"/>
          <w:highlight w:val="none"/>
          <w:lang w:val="en-US" w:eastAsia="zh-CN"/>
        </w:rPr>
        <w:t>底</w:t>
      </w:r>
      <w:r>
        <w:rPr>
          <w:rFonts w:hint="eastAsia" w:ascii="宋体" w:hAnsi="宋体" w:eastAsia="宋体" w:cs="宋体"/>
          <w:b w:val="0"/>
          <w:bCs/>
          <w:color w:val="auto"/>
          <w:sz w:val="24"/>
          <w:szCs w:val="24"/>
          <w:highlight w:val="none"/>
          <w:lang w:val="en-US" w:eastAsia="zh-CN"/>
        </w:rPr>
        <w:t>双方到市场（胡家庙蔬菜批发市场、欣桥蔬菜批发市场、朱雀蔬菜批发市场、西一路）询价，</w:t>
      </w:r>
      <w:r>
        <w:rPr>
          <w:rFonts w:hint="eastAsia" w:ascii="宋体" w:hAnsi="宋体" w:cs="宋体"/>
          <w:b w:val="0"/>
          <w:bCs/>
          <w:color w:val="auto"/>
          <w:sz w:val="24"/>
          <w:szCs w:val="24"/>
          <w:highlight w:val="none"/>
          <w:lang w:val="en-US" w:eastAsia="zh-CN"/>
        </w:rPr>
        <w:t>作为当月结算的依据。</w:t>
      </w:r>
    </w:p>
    <w:p w14:paraId="2D2858B5">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color w:val="auto"/>
          <w:sz w:val="24"/>
          <w:szCs w:val="24"/>
          <w:u w:val="single"/>
          <w:lang w:val="en-US" w:eastAsia="zh-CN"/>
        </w:rPr>
      </w:pPr>
      <w:r>
        <w:rPr>
          <w:rFonts w:hint="eastAsia" w:ascii="宋体" w:hAnsi="宋体" w:cs="宋体"/>
          <w:bCs/>
          <w:color w:val="auto"/>
          <w:kern w:val="2"/>
          <w:sz w:val="24"/>
          <w:szCs w:val="24"/>
          <w:lang w:val="en-US" w:eastAsia="zh-CN" w:bidi="ar-SA"/>
        </w:rPr>
        <w:t>2.</w:t>
      </w:r>
      <w:r>
        <w:rPr>
          <w:rFonts w:hint="eastAsia" w:ascii="宋体" w:hAnsi="宋体" w:eastAsia="宋体" w:cs="宋体"/>
          <w:bCs/>
          <w:color w:val="auto"/>
          <w:kern w:val="2"/>
          <w:sz w:val="24"/>
          <w:szCs w:val="24"/>
          <w:lang w:val="en-US" w:eastAsia="zh-CN" w:bidi="ar-SA"/>
        </w:rPr>
        <w:t>付款方式：</w:t>
      </w:r>
      <w:r>
        <w:rPr>
          <w:rFonts w:hint="eastAsia" w:ascii="宋体" w:hAnsi="宋体" w:cs="宋体"/>
          <w:bCs/>
          <w:color w:val="auto"/>
          <w:kern w:val="2"/>
          <w:sz w:val="24"/>
          <w:szCs w:val="24"/>
          <w:u w:val="single"/>
          <w:lang w:val="en-US" w:eastAsia="zh-CN" w:bidi="ar-SA"/>
        </w:rPr>
        <w:t xml:space="preserve"> </w:t>
      </w:r>
      <w:r>
        <w:rPr>
          <w:rFonts w:hint="eastAsia" w:ascii="宋体" w:hAnsi="宋体" w:cs="宋体"/>
          <w:color w:val="auto"/>
          <w:sz w:val="24"/>
          <w:szCs w:val="24"/>
          <w:u w:val="single"/>
          <w:lang w:val="en-US" w:eastAsia="zh-CN"/>
        </w:rPr>
        <w:t>每月</w:t>
      </w:r>
      <w:r>
        <w:rPr>
          <w:rFonts w:hint="eastAsia" w:ascii="宋体" w:hAnsi="宋体" w:eastAsia="宋体" w:cs="宋体"/>
          <w:color w:val="auto"/>
          <w:sz w:val="24"/>
          <w:szCs w:val="24"/>
          <w:u w:val="single"/>
          <w:lang w:val="en-US" w:eastAsia="zh-CN"/>
        </w:rPr>
        <w:t>结算</w:t>
      </w:r>
      <w:r>
        <w:rPr>
          <w:rFonts w:hint="eastAsia" w:ascii="宋体" w:hAnsi="宋体" w:cs="宋体"/>
          <w:color w:val="auto"/>
          <w:sz w:val="24"/>
          <w:szCs w:val="24"/>
          <w:u w:val="single"/>
          <w:lang w:val="en-US" w:eastAsia="zh-CN"/>
        </w:rPr>
        <w:t>一次</w:t>
      </w:r>
      <w:r>
        <w:rPr>
          <w:rFonts w:hint="eastAsia" w:ascii="宋体" w:hAnsi="宋体" w:eastAsia="宋体" w:cs="宋体"/>
          <w:color w:val="auto"/>
          <w:sz w:val="24"/>
          <w:szCs w:val="24"/>
          <w:u w:val="single"/>
          <w:lang w:val="en-US" w:eastAsia="zh-CN"/>
        </w:rPr>
        <w:t>。</w:t>
      </w:r>
    </w:p>
    <w:p w14:paraId="093093B2">
      <w:pPr>
        <w:pStyle w:val="3"/>
        <w:keepNext w:val="0"/>
        <w:keepLines w:val="0"/>
        <w:pageBreakBefore w:val="0"/>
        <w:widowControl w:val="0"/>
        <w:numPr>
          <w:ilvl w:val="0"/>
          <w:numId w:val="0"/>
        </w:numPr>
        <w:kinsoku/>
        <w:wordWrap/>
        <w:overflowPunct/>
        <w:topLinePunct w:val="0"/>
        <w:bidi w:val="0"/>
        <w:snapToGrid w:val="0"/>
        <w:spacing w:after="0" w:line="52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color w:val="auto"/>
          <w:sz w:val="24"/>
          <w:szCs w:val="24"/>
          <w:u w:val="none"/>
          <w:lang w:val="en-US" w:eastAsia="zh-CN"/>
        </w:rPr>
        <w:t>3.</w:t>
      </w:r>
      <w:r>
        <w:rPr>
          <w:rFonts w:hint="eastAsia" w:ascii="宋体" w:hAnsi="宋体" w:eastAsia="宋体" w:cs="宋体"/>
          <w:color w:val="auto"/>
          <w:sz w:val="24"/>
          <w:szCs w:val="24"/>
          <w:highlight w:val="none"/>
          <w:lang w:val="en-US" w:eastAsia="zh-CN"/>
        </w:rPr>
        <w:t>乙方次月</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日前将甲方上月采购总费用</w:t>
      </w:r>
      <w:r>
        <w:rPr>
          <w:rFonts w:hint="eastAsia" w:ascii="宋体" w:hAnsi="宋体" w:cs="宋体"/>
          <w:color w:val="auto"/>
          <w:sz w:val="24"/>
          <w:szCs w:val="24"/>
          <w:highlight w:val="none"/>
          <w:lang w:val="en-US" w:eastAsia="zh-CN"/>
        </w:rPr>
        <w:t>单</w:t>
      </w:r>
      <w:r>
        <w:rPr>
          <w:rFonts w:hint="eastAsia" w:ascii="宋体" w:hAnsi="宋体" w:eastAsia="宋体" w:cs="宋体"/>
          <w:color w:val="auto"/>
          <w:sz w:val="24"/>
          <w:szCs w:val="24"/>
          <w:highlight w:val="none"/>
          <w:lang w:val="en-US" w:eastAsia="zh-CN"/>
        </w:rPr>
        <w:t>及发票递交给甲方，</w:t>
      </w:r>
      <w:r>
        <w:rPr>
          <w:rFonts w:hint="eastAsia" w:ascii="宋体" w:hAnsi="宋体" w:eastAsia="宋体" w:cs="宋体"/>
          <w:sz w:val="24"/>
          <w:szCs w:val="24"/>
          <w:highlight w:val="none"/>
          <w:lang w:val="en-US" w:eastAsia="zh-CN"/>
        </w:rPr>
        <w:t>甲方于当月</w:t>
      </w:r>
      <w:r>
        <w:rPr>
          <w:rFonts w:hint="eastAsia" w:ascii="宋体" w:hAnsi="宋体" w:cs="宋体"/>
          <w:sz w:val="24"/>
          <w:szCs w:val="24"/>
          <w:highlight w:val="none"/>
          <w:lang w:val="en-US" w:eastAsia="zh-CN"/>
        </w:rPr>
        <w:t>15</w:t>
      </w:r>
      <w:r>
        <w:rPr>
          <w:rFonts w:hint="eastAsia" w:ascii="宋体" w:hAnsi="宋体" w:eastAsia="宋体" w:cs="宋体"/>
          <w:sz w:val="24"/>
          <w:szCs w:val="24"/>
          <w:highlight w:val="none"/>
          <w:lang w:val="en-US" w:eastAsia="zh-CN"/>
        </w:rPr>
        <w:t>日前支付乙方上月采购费。</w:t>
      </w:r>
      <w:bookmarkStart w:id="0" w:name="_GoBack"/>
      <w:bookmarkEnd w:id="0"/>
    </w:p>
    <w:p w14:paraId="3FB05260">
      <w:pPr>
        <w:pStyle w:val="3"/>
        <w:keepNext w:val="0"/>
        <w:keepLines w:val="0"/>
        <w:pageBreakBefore w:val="0"/>
        <w:widowControl w:val="0"/>
        <w:numPr>
          <w:ilvl w:val="0"/>
          <w:numId w:val="0"/>
        </w:numPr>
        <w:kinsoku/>
        <w:wordWrap/>
        <w:overflowPunct/>
        <w:topLinePunct w:val="0"/>
        <w:bidi w:val="0"/>
        <w:snapToGrid w:val="0"/>
        <w:spacing w:after="0"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w:t>
      </w:r>
      <w:r>
        <w:rPr>
          <w:rFonts w:hint="eastAsia" w:ascii="宋体" w:hAnsi="宋体" w:eastAsia="宋体" w:cs="宋体"/>
          <w:sz w:val="24"/>
          <w:szCs w:val="24"/>
        </w:rPr>
        <w:t>付款方式：</w:t>
      </w:r>
      <w:r>
        <w:rPr>
          <w:rFonts w:hint="eastAsia" w:ascii="宋体" w:hAnsi="宋体" w:eastAsia="宋体" w:cs="宋体"/>
          <w:sz w:val="24"/>
          <w:szCs w:val="24"/>
          <w:lang w:val="en-US" w:eastAsia="zh-CN"/>
        </w:rPr>
        <w:t>银行对公转账</w:t>
      </w:r>
    </w:p>
    <w:p w14:paraId="75D1656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.乙方收款账号信息:</w:t>
      </w:r>
    </w:p>
    <w:p w14:paraId="7630784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户</w:t>
      </w:r>
      <w:r>
        <w:rPr>
          <w:rFonts w:hint="eastAsia" w:ascii="宋体" w:hAnsi="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名：</w:t>
      </w:r>
    </w:p>
    <w:p w14:paraId="5EF8E1E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开户行：</w:t>
      </w:r>
    </w:p>
    <w:p w14:paraId="6CA16DD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sz w:val="24"/>
          <w:szCs w:val="24"/>
          <w:lang w:val="en-US" w:eastAsia="zh-CN"/>
        </w:rPr>
      </w:pPr>
      <w:r>
        <w:rPr>
          <w:rFonts w:hint="eastAsia" w:ascii="宋体" w:hAnsi="宋体" w:eastAsia="宋体" w:cs="宋体"/>
          <w:kern w:val="2"/>
          <w:sz w:val="24"/>
          <w:szCs w:val="24"/>
          <w:lang w:val="en-US" w:eastAsia="zh-CN" w:bidi="ar-SA"/>
        </w:rPr>
        <w:t>账</w:t>
      </w:r>
      <w:r>
        <w:rPr>
          <w:rFonts w:hint="eastAsia" w:ascii="宋体" w:hAnsi="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号：</w:t>
      </w:r>
    </w:p>
    <w:p w14:paraId="3BEADFCE">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 xml:space="preserve">第四条 </w:t>
      </w:r>
      <w:r>
        <w:rPr>
          <w:rFonts w:hint="eastAsia" w:ascii="宋体" w:hAnsi="宋体" w:eastAsia="宋体" w:cs="宋体"/>
          <w:b/>
          <w:bCs/>
          <w:kern w:val="2"/>
          <w:sz w:val="24"/>
          <w:szCs w:val="24"/>
          <w:lang w:val="en-US" w:eastAsia="zh-CN" w:bidi="ar-SA"/>
        </w:rPr>
        <w:t xml:space="preserve"> 双方的权利和义务</w:t>
      </w:r>
    </w:p>
    <w:p w14:paraId="7C0FD92C">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责任</w:t>
      </w:r>
    </w:p>
    <w:p w14:paraId="2B34B448">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负责核准、认定本项目相关技术资料文档；参与采购计划的报送、食材的验收、监督乙方合同的履行；为乙方履行合同提供必要的工作条件及场地；按照合同约定，按时支付货款。</w:t>
      </w:r>
    </w:p>
    <w:p w14:paraId="02D79AAE">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（二）乙方责任</w:t>
      </w:r>
    </w:p>
    <w:p w14:paraId="7875DC45">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cs="宋体"/>
          <w:bCs/>
          <w:kern w:val="2"/>
          <w:sz w:val="24"/>
          <w:szCs w:val="24"/>
          <w:lang w:val="en-US" w:eastAsia="zh-CN" w:bidi="ar-SA"/>
        </w:rPr>
      </w:pPr>
      <w:r>
        <w:rPr>
          <w:rFonts w:hint="eastAsia" w:ascii="宋体" w:hAnsi="宋体" w:cs="宋体"/>
          <w:bCs/>
          <w:kern w:val="2"/>
          <w:sz w:val="24"/>
          <w:szCs w:val="24"/>
          <w:lang w:val="en-US" w:eastAsia="zh-CN" w:bidi="ar-SA"/>
        </w:rPr>
        <w:t>1.</w:t>
      </w:r>
      <w:r>
        <w:rPr>
          <w:rFonts w:hint="eastAsia" w:ascii="宋体" w:hAnsi="宋体" w:eastAsia="宋体" w:cs="宋体"/>
          <w:bCs/>
          <w:kern w:val="2"/>
          <w:sz w:val="24"/>
          <w:szCs w:val="24"/>
          <w:lang w:val="en-US" w:eastAsia="zh-CN" w:bidi="ar-SA"/>
        </w:rPr>
        <w:t>按照</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报送的计划，按时为</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提供符合合同约定且满足</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要求的食材</w:t>
      </w:r>
      <w:r>
        <w:rPr>
          <w:rFonts w:hint="eastAsia" w:ascii="宋体" w:hAnsi="宋体" w:cs="宋体"/>
          <w:bCs/>
          <w:kern w:val="2"/>
          <w:sz w:val="24"/>
          <w:szCs w:val="24"/>
          <w:lang w:val="en-US" w:eastAsia="zh-CN" w:bidi="ar-SA"/>
        </w:rPr>
        <w:t>。</w:t>
      </w:r>
    </w:p>
    <w:p w14:paraId="41B77378">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cs="宋体"/>
          <w:bCs/>
          <w:kern w:val="2"/>
          <w:sz w:val="24"/>
          <w:szCs w:val="24"/>
          <w:lang w:val="en-US" w:eastAsia="zh-CN" w:bidi="ar-SA"/>
        </w:rPr>
        <w:t>2.</w:t>
      </w:r>
      <w:r>
        <w:rPr>
          <w:rFonts w:hint="eastAsia" w:ascii="宋体" w:hAnsi="宋体" w:eastAsia="宋体" w:cs="宋体"/>
          <w:bCs/>
          <w:kern w:val="2"/>
          <w:sz w:val="24"/>
          <w:szCs w:val="24"/>
          <w:lang w:val="en-US" w:eastAsia="zh-CN" w:bidi="ar-SA"/>
        </w:rPr>
        <w:t>配合</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对食材进行验收；按时为</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提供相应食材符合质量标准的证明文件或《质检报告》。</w:t>
      </w:r>
    </w:p>
    <w:p w14:paraId="75130DC9">
      <w:pPr>
        <w:pStyle w:val="3"/>
        <w:keepNext w:val="0"/>
        <w:keepLines w:val="0"/>
        <w:pageBreakBefore w:val="0"/>
        <w:widowControl w:val="0"/>
        <w:kinsoku/>
        <w:wordWrap/>
        <w:overflowPunct/>
        <w:topLinePunct w:val="0"/>
        <w:bidi w:val="0"/>
        <w:snapToGrid w:val="0"/>
        <w:spacing w:after="0" w:line="480" w:lineRule="exact"/>
        <w:ind w:firstLine="56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乙方提交的食材，在</w:t>
      </w:r>
      <w:r>
        <w:rPr>
          <w:rFonts w:hint="eastAsia" w:ascii="宋体" w:hAnsi="宋体" w:eastAsia="宋体" w:cs="宋体"/>
          <w:sz w:val="24"/>
          <w:szCs w:val="24"/>
          <w:lang w:eastAsia="zh-CN"/>
        </w:rPr>
        <w:t>甲方</w:t>
      </w:r>
      <w:r>
        <w:rPr>
          <w:rFonts w:hint="eastAsia" w:ascii="宋体" w:hAnsi="宋体" w:eastAsia="宋体" w:cs="宋体"/>
          <w:sz w:val="24"/>
          <w:szCs w:val="24"/>
        </w:rPr>
        <w:t>验收前，出现的毁损灭失风险，由乙方承担。</w:t>
      </w:r>
    </w:p>
    <w:p w14:paraId="395398E8">
      <w:pPr>
        <w:keepNext w:val="0"/>
        <w:keepLines w:val="0"/>
        <w:pageBreakBefore w:val="0"/>
        <w:widowControl/>
        <w:suppressLineNumbers w:val="0"/>
        <w:kinsoku/>
        <w:wordWrap/>
        <w:overflowPunct/>
        <w:topLinePunct w:val="0"/>
        <w:bidi w:val="0"/>
        <w:spacing w:line="480" w:lineRule="exact"/>
        <w:ind w:firstLine="480" w:firstLineChars="200"/>
        <w:jc w:val="left"/>
        <w:textAlignment w:val="auto"/>
        <w:rPr>
          <w:rFonts w:hint="eastAsia"/>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kern w:val="2"/>
          <w:sz w:val="24"/>
          <w:szCs w:val="24"/>
          <w:lang w:val="en-US" w:eastAsia="zh-CN" w:bidi="ar-SA"/>
        </w:rPr>
        <w:t>本采购履约保证金为合同金额的</w:t>
      </w:r>
      <w:r>
        <w:rPr>
          <w:rFonts w:hint="eastAsia" w:ascii="宋体" w:hAnsi="宋体" w:eastAsia="宋体" w:cs="宋体"/>
          <w:color w:val="000000" w:themeColor="text1"/>
          <w:kern w:val="2"/>
          <w:sz w:val="24"/>
          <w:szCs w:val="24"/>
          <w:lang w:val="en-US" w:eastAsia="zh-CN" w:bidi="ar-SA"/>
          <w14:textFill>
            <w14:solidFill>
              <w14:schemeClr w14:val="tx1"/>
            </w14:solidFill>
          </w14:textFill>
        </w:rPr>
        <w:t>5.</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0%</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（共35200.00元）</w:t>
      </w:r>
      <w:r>
        <w:rPr>
          <w:rFonts w:hint="eastAsia" w:ascii="宋体" w:hAnsi="宋体" w:eastAsia="宋体" w:cs="宋体"/>
          <w:kern w:val="2"/>
          <w:sz w:val="24"/>
          <w:szCs w:val="24"/>
          <w:highlight w:val="none"/>
          <w:lang w:val="en-US" w:eastAsia="zh-CN" w:bidi="ar-SA"/>
        </w:rPr>
        <w:t>。合同履行过程中，产品质量一次不合格一个品种扣除履约保证金</w:t>
      </w:r>
      <w:r>
        <w:rPr>
          <w:rFonts w:hint="default" w:ascii="宋体" w:hAnsi="宋体" w:eastAsia="宋体" w:cs="宋体"/>
          <w:kern w:val="2"/>
          <w:sz w:val="24"/>
          <w:szCs w:val="24"/>
          <w:highlight w:val="none"/>
          <w:lang w:val="en-US" w:eastAsia="zh-CN" w:bidi="ar-SA"/>
        </w:rPr>
        <w:t>20</w:t>
      </w:r>
      <w:r>
        <w:rPr>
          <w:rFonts w:hint="eastAsia" w:ascii="宋体" w:hAnsi="宋体" w:eastAsia="宋体" w:cs="宋体"/>
          <w:kern w:val="2"/>
          <w:sz w:val="24"/>
          <w:szCs w:val="24"/>
          <w:highlight w:val="none"/>
          <w:lang w:val="en-US" w:eastAsia="zh-CN" w:bidi="ar-SA"/>
        </w:rPr>
        <w:t>元，前两周不计。配送</w:t>
      </w:r>
      <w:r>
        <w:rPr>
          <w:rFonts w:hint="eastAsia" w:ascii="宋体" w:hAnsi="宋体" w:eastAsia="宋体" w:cs="宋体"/>
          <w:kern w:val="2"/>
          <w:sz w:val="24"/>
          <w:szCs w:val="24"/>
          <w:lang w:val="en-US" w:eastAsia="zh-CN" w:bidi="ar-SA"/>
        </w:rPr>
        <w:t>迟到一次扣除履约保证金</w:t>
      </w:r>
      <w:r>
        <w:rPr>
          <w:rFonts w:hint="default" w:ascii="宋体" w:hAnsi="宋体" w:eastAsia="宋体" w:cs="宋体"/>
          <w:kern w:val="2"/>
          <w:sz w:val="24"/>
          <w:szCs w:val="24"/>
          <w:lang w:val="en-US" w:eastAsia="zh-CN" w:bidi="ar-SA"/>
        </w:rPr>
        <w:t>50</w:t>
      </w:r>
      <w:r>
        <w:rPr>
          <w:rFonts w:hint="eastAsia" w:ascii="宋体" w:hAnsi="宋体" w:eastAsia="宋体" w:cs="宋体"/>
          <w:kern w:val="2"/>
          <w:sz w:val="24"/>
          <w:szCs w:val="24"/>
          <w:lang w:val="en-US" w:eastAsia="zh-CN" w:bidi="ar-SA"/>
        </w:rPr>
        <w:t>元，</w:t>
      </w:r>
      <w:r>
        <w:rPr>
          <w:rFonts w:hint="eastAsia" w:ascii="宋体" w:hAnsi="宋体" w:cs="宋体"/>
          <w:kern w:val="2"/>
          <w:sz w:val="24"/>
          <w:szCs w:val="24"/>
          <w:lang w:val="en-US" w:eastAsia="zh-CN" w:bidi="ar-SA"/>
        </w:rPr>
        <w:t>甲方</w:t>
      </w:r>
      <w:r>
        <w:rPr>
          <w:rFonts w:hint="eastAsia" w:ascii="宋体" w:hAnsi="宋体" w:eastAsia="宋体" w:cs="宋体"/>
          <w:kern w:val="2"/>
          <w:sz w:val="24"/>
          <w:szCs w:val="24"/>
          <w:lang w:val="en-US" w:eastAsia="zh-CN" w:bidi="ar-SA"/>
        </w:rPr>
        <w:t>扣除后，</w:t>
      </w:r>
      <w:r>
        <w:rPr>
          <w:rFonts w:hint="eastAsia" w:ascii="宋体" w:hAnsi="宋体" w:cs="宋体"/>
          <w:kern w:val="2"/>
          <w:sz w:val="24"/>
          <w:szCs w:val="24"/>
          <w:lang w:val="en-US" w:eastAsia="zh-CN" w:bidi="ar-SA"/>
        </w:rPr>
        <w:t>乙方</w:t>
      </w:r>
      <w:r>
        <w:rPr>
          <w:rFonts w:hint="eastAsia" w:ascii="宋体" w:hAnsi="宋体" w:eastAsia="宋体" w:cs="宋体"/>
          <w:kern w:val="2"/>
          <w:sz w:val="24"/>
          <w:szCs w:val="24"/>
          <w:lang w:val="en-US" w:eastAsia="zh-CN" w:bidi="ar-SA"/>
        </w:rPr>
        <w:t>须立即将其补足至合同约定金额的</w:t>
      </w:r>
      <w:r>
        <w:rPr>
          <w:rFonts w:hint="default" w:ascii="宋体" w:hAnsi="宋体" w:eastAsia="宋体" w:cs="宋体"/>
          <w:kern w:val="2"/>
          <w:sz w:val="24"/>
          <w:szCs w:val="24"/>
          <w:lang w:val="en-US" w:eastAsia="zh-CN" w:bidi="ar-SA"/>
        </w:rPr>
        <w:t>5%</w:t>
      </w:r>
      <w:r>
        <w:rPr>
          <w:rFonts w:hint="eastAsia" w:ascii="宋体" w:hAnsi="宋体" w:eastAsia="宋体" w:cs="宋体"/>
          <w:kern w:val="2"/>
          <w:sz w:val="24"/>
          <w:szCs w:val="24"/>
          <w:lang w:val="en-US" w:eastAsia="zh-CN" w:bidi="ar-SA"/>
        </w:rPr>
        <w:t>。因</w:t>
      </w:r>
      <w:r>
        <w:rPr>
          <w:rFonts w:hint="eastAsia" w:ascii="宋体" w:hAnsi="宋体" w:cs="宋体"/>
          <w:kern w:val="2"/>
          <w:sz w:val="24"/>
          <w:szCs w:val="24"/>
          <w:lang w:val="en-US" w:eastAsia="zh-CN" w:bidi="ar-SA"/>
        </w:rPr>
        <w:t>乙方</w:t>
      </w:r>
      <w:r>
        <w:rPr>
          <w:rFonts w:hint="eastAsia" w:ascii="宋体" w:hAnsi="宋体" w:eastAsia="宋体" w:cs="宋体"/>
          <w:kern w:val="2"/>
          <w:sz w:val="24"/>
          <w:szCs w:val="24"/>
          <w:lang w:val="en-US" w:eastAsia="zh-CN" w:bidi="ar-SA"/>
        </w:rPr>
        <w:t>违约导致本合同终止的，</w:t>
      </w:r>
      <w:r>
        <w:rPr>
          <w:rFonts w:hint="eastAsia" w:ascii="宋体" w:hAnsi="宋体" w:cs="宋体"/>
          <w:kern w:val="2"/>
          <w:sz w:val="24"/>
          <w:szCs w:val="24"/>
          <w:lang w:val="en-US" w:eastAsia="zh-CN" w:bidi="ar-SA"/>
        </w:rPr>
        <w:t>甲方</w:t>
      </w:r>
      <w:r>
        <w:rPr>
          <w:rFonts w:hint="eastAsia" w:ascii="宋体" w:hAnsi="宋体" w:eastAsia="宋体" w:cs="宋体"/>
          <w:kern w:val="2"/>
          <w:sz w:val="24"/>
          <w:szCs w:val="24"/>
          <w:lang w:val="en-US" w:eastAsia="zh-CN" w:bidi="ar-SA"/>
        </w:rPr>
        <w:t>无需向</w:t>
      </w:r>
      <w:r>
        <w:rPr>
          <w:rFonts w:hint="eastAsia" w:ascii="宋体" w:hAnsi="宋体" w:cs="宋体"/>
          <w:kern w:val="2"/>
          <w:sz w:val="24"/>
          <w:szCs w:val="24"/>
          <w:lang w:val="en-US" w:eastAsia="zh-CN" w:bidi="ar-SA"/>
        </w:rPr>
        <w:t>乙方</w:t>
      </w:r>
      <w:r>
        <w:rPr>
          <w:rFonts w:hint="eastAsia" w:ascii="宋体" w:hAnsi="宋体" w:eastAsia="宋体" w:cs="宋体"/>
          <w:kern w:val="2"/>
          <w:sz w:val="24"/>
          <w:szCs w:val="24"/>
          <w:lang w:val="en-US" w:eastAsia="zh-CN" w:bidi="ar-SA"/>
        </w:rPr>
        <w:t>退还履约保证金。</w:t>
      </w:r>
      <w:r>
        <w:rPr>
          <w:rFonts w:hint="eastAsia" w:ascii="宋体" w:hAnsi="宋体" w:cs="宋体"/>
          <w:kern w:val="2"/>
          <w:sz w:val="24"/>
          <w:szCs w:val="24"/>
          <w:lang w:val="en-US" w:eastAsia="zh-CN" w:bidi="ar-SA"/>
        </w:rPr>
        <w:t>乙方</w:t>
      </w:r>
      <w:r>
        <w:rPr>
          <w:rFonts w:hint="eastAsia" w:ascii="宋体" w:hAnsi="宋体" w:eastAsia="宋体" w:cs="宋体"/>
          <w:kern w:val="2"/>
          <w:sz w:val="24"/>
          <w:szCs w:val="24"/>
          <w:lang w:val="en-US" w:eastAsia="zh-CN" w:bidi="ar-SA"/>
        </w:rPr>
        <w:t>按照本合同约定及</w:t>
      </w:r>
      <w:r>
        <w:rPr>
          <w:rFonts w:hint="eastAsia" w:ascii="宋体" w:hAnsi="宋体" w:cs="宋体"/>
          <w:kern w:val="2"/>
          <w:sz w:val="24"/>
          <w:szCs w:val="24"/>
          <w:lang w:val="en-US" w:eastAsia="zh-CN" w:bidi="ar-SA"/>
        </w:rPr>
        <w:t>甲方</w:t>
      </w:r>
      <w:r>
        <w:rPr>
          <w:rFonts w:hint="eastAsia" w:ascii="宋体" w:hAnsi="宋体" w:eastAsia="宋体" w:cs="宋体"/>
          <w:kern w:val="2"/>
          <w:sz w:val="24"/>
          <w:szCs w:val="24"/>
          <w:lang w:val="en-US" w:eastAsia="zh-CN" w:bidi="ar-SA"/>
        </w:rPr>
        <w:t>要求，完成全部供货义务及相关服务，最后一次结完帐，无任何纠纷，</w:t>
      </w:r>
      <w:r>
        <w:rPr>
          <w:rFonts w:hint="default" w:ascii="宋体" w:hAnsi="宋体" w:eastAsia="宋体" w:cs="宋体"/>
          <w:kern w:val="2"/>
          <w:sz w:val="24"/>
          <w:szCs w:val="24"/>
          <w:lang w:val="en-US" w:eastAsia="zh-CN" w:bidi="ar-SA"/>
        </w:rPr>
        <w:t>15</w:t>
      </w:r>
      <w:r>
        <w:rPr>
          <w:rFonts w:hint="eastAsia" w:ascii="宋体" w:hAnsi="宋体" w:eastAsia="宋体" w:cs="宋体"/>
          <w:kern w:val="2"/>
          <w:sz w:val="24"/>
          <w:szCs w:val="24"/>
          <w:lang w:val="en-US" w:eastAsia="zh-CN" w:bidi="ar-SA"/>
        </w:rPr>
        <w:t>天之内全额无息银行转账退还，如逾期退还，每逾期</w:t>
      </w:r>
      <w:r>
        <w:rPr>
          <w:rFonts w:hint="default" w:ascii="宋体" w:hAnsi="宋体" w:eastAsia="宋体" w:cs="宋体"/>
          <w:kern w:val="2"/>
          <w:sz w:val="24"/>
          <w:szCs w:val="24"/>
          <w:lang w:val="en-US" w:eastAsia="zh-CN" w:bidi="ar-SA"/>
        </w:rPr>
        <w:t>1</w:t>
      </w:r>
      <w:r>
        <w:rPr>
          <w:rFonts w:hint="eastAsia" w:ascii="宋体" w:hAnsi="宋体" w:eastAsia="宋体" w:cs="宋体"/>
          <w:kern w:val="2"/>
          <w:sz w:val="24"/>
          <w:szCs w:val="24"/>
          <w:lang w:val="en-US" w:eastAsia="zh-CN" w:bidi="ar-SA"/>
        </w:rPr>
        <w:t>天赔偿</w:t>
      </w:r>
      <w:r>
        <w:rPr>
          <w:rFonts w:hint="eastAsia" w:ascii="宋体" w:hAnsi="宋体" w:cs="宋体"/>
          <w:kern w:val="2"/>
          <w:sz w:val="24"/>
          <w:szCs w:val="24"/>
          <w:lang w:val="en-US" w:eastAsia="zh-CN" w:bidi="ar-SA"/>
        </w:rPr>
        <w:t>乙方</w:t>
      </w:r>
      <w:r>
        <w:rPr>
          <w:rFonts w:hint="default" w:ascii="宋体" w:hAnsi="宋体" w:eastAsia="宋体" w:cs="宋体"/>
          <w:kern w:val="2"/>
          <w:sz w:val="24"/>
          <w:szCs w:val="24"/>
          <w:lang w:val="en-US" w:eastAsia="zh-CN" w:bidi="ar-SA"/>
        </w:rPr>
        <w:t>100</w:t>
      </w:r>
      <w:r>
        <w:rPr>
          <w:rFonts w:hint="eastAsia" w:ascii="宋体" w:hAnsi="宋体" w:eastAsia="宋体" w:cs="宋体"/>
          <w:kern w:val="2"/>
          <w:sz w:val="24"/>
          <w:szCs w:val="24"/>
          <w:lang w:val="en-US" w:eastAsia="zh-CN" w:bidi="ar-SA"/>
        </w:rPr>
        <w:t>元。如果有纠纷，两家协商，如果未能达成，可走司法程序。</w:t>
      </w:r>
    </w:p>
    <w:p w14:paraId="2D90738D">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jc w:val="left"/>
        <w:textAlignment w:val="auto"/>
        <w:rPr>
          <w:rFonts w:hint="eastAsia" w:ascii="宋体" w:hAnsi="宋体" w:cs="宋体"/>
          <w:b/>
          <w:bCs/>
          <w:kern w:val="2"/>
          <w:sz w:val="24"/>
          <w:szCs w:val="24"/>
          <w:lang w:val="en-US" w:eastAsia="zh-CN" w:bidi="ar-SA"/>
        </w:rPr>
      </w:pPr>
      <w:r>
        <w:rPr>
          <w:rFonts w:hint="eastAsia" w:ascii="宋体" w:hAnsi="宋体" w:cs="宋体"/>
          <w:b/>
          <w:bCs/>
          <w:kern w:val="2"/>
          <w:sz w:val="24"/>
          <w:szCs w:val="24"/>
          <w:lang w:val="en-US" w:eastAsia="zh-CN" w:bidi="ar-SA"/>
        </w:rPr>
        <w:t>第五条  交货条件</w:t>
      </w:r>
    </w:p>
    <w:p w14:paraId="2017305F">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（一）供货地点：</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指定地点。</w:t>
      </w:r>
    </w:p>
    <w:p w14:paraId="099D97D8">
      <w:pPr>
        <w:pStyle w:val="10"/>
        <w:keepNext w:val="0"/>
        <w:keepLines w:val="0"/>
        <w:pageBreakBefore w:val="0"/>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（二）供货期：合同签订后，按照下单时间及采购需求中的各项要求进行供货及配送，服务至2026年12月31日。</w:t>
      </w:r>
    </w:p>
    <w:p w14:paraId="216CBC50">
      <w:pPr>
        <w:keepNext w:val="0"/>
        <w:keepLines w:val="0"/>
        <w:pageBreakBefore w:val="0"/>
        <w:numPr>
          <w:ilvl w:val="0"/>
          <w:numId w:val="0"/>
        </w:numPr>
        <w:kinsoku/>
        <w:wordWrap/>
        <w:overflowPunct/>
        <w:topLinePunct w:val="0"/>
        <w:autoSpaceDE/>
        <w:autoSpaceDN/>
        <w:bidi w:val="0"/>
        <w:adjustRightInd/>
        <w:snapToGrid w:val="0"/>
        <w:spacing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 xml:space="preserve">第六条 </w:t>
      </w:r>
      <w:r>
        <w:rPr>
          <w:rFonts w:hint="eastAsia" w:ascii="宋体" w:hAnsi="宋体" w:cs="宋体"/>
          <w:b/>
          <w:bCs/>
          <w:kern w:val="2"/>
          <w:sz w:val="24"/>
          <w:szCs w:val="24"/>
          <w:lang w:val="en-US" w:eastAsia="zh-CN" w:bidi="ar-SA"/>
        </w:rPr>
        <w:t xml:space="preserve"> </w:t>
      </w:r>
      <w:r>
        <w:rPr>
          <w:rFonts w:hint="eastAsia" w:ascii="宋体" w:hAnsi="宋体" w:eastAsia="宋体" w:cs="宋体"/>
          <w:b/>
          <w:bCs/>
          <w:kern w:val="2"/>
          <w:sz w:val="24"/>
          <w:szCs w:val="24"/>
          <w:lang w:val="en-US" w:eastAsia="zh-CN" w:bidi="ar-SA"/>
        </w:rPr>
        <w:t>包装及运输</w:t>
      </w:r>
    </w:p>
    <w:p w14:paraId="43F61EDE">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涉及的商品包装和快递包装，均应符合《商品包装政府采购需求标准（试行）》</w:t>
      </w:r>
      <w:r>
        <w:rPr>
          <w:rFonts w:hint="eastAsia" w:ascii="宋体" w:hAnsi="宋体" w:cs="宋体"/>
          <w:bCs/>
          <w:kern w:val="2"/>
          <w:sz w:val="24"/>
          <w:szCs w:val="24"/>
          <w:lang w:val="en-US" w:eastAsia="zh-CN" w:bidi="ar-SA"/>
        </w:rPr>
        <w:t>、</w:t>
      </w:r>
      <w:r>
        <w:rPr>
          <w:rFonts w:hint="eastAsia" w:ascii="宋体" w:hAnsi="宋体" w:eastAsia="宋体" w:cs="宋体"/>
          <w:bCs/>
          <w:kern w:val="2"/>
          <w:sz w:val="24"/>
          <w:szCs w:val="24"/>
          <w:lang w:val="en-US" w:eastAsia="zh-CN" w:bidi="ar-SA"/>
        </w:rPr>
        <w:t>《快递包装政府采购需求标准（试行）》的要求，包装应适应于远距离运输、防潮、防震、防锈和防野蛮装卸，以确保货物安全无损运抵指定地点。</w:t>
      </w:r>
    </w:p>
    <w:p w14:paraId="11CA68B1">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第七条  乙方质量保证</w:t>
      </w:r>
    </w:p>
    <w:p w14:paraId="1B2468C7">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（一）乙方所供食材保证技术指标符合要求、质量可靠、进货渠道正常，符合国家《产品质量法》</w:t>
      </w:r>
      <w:r>
        <w:rPr>
          <w:rFonts w:hint="eastAsia" w:ascii="宋体" w:hAnsi="宋体" w:cs="宋体"/>
          <w:bCs/>
          <w:kern w:val="2"/>
          <w:sz w:val="24"/>
          <w:szCs w:val="24"/>
          <w:lang w:val="en-US" w:eastAsia="zh-CN" w:bidi="ar-SA"/>
        </w:rPr>
        <w:t>、</w:t>
      </w:r>
      <w:r>
        <w:rPr>
          <w:rFonts w:hint="eastAsia" w:ascii="宋体" w:hAnsi="宋体" w:eastAsia="宋体" w:cs="宋体"/>
          <w:bCs/>
          <w:kern w:val="2"/>
          <w:sz w:val="24"/>
          <w:szCs w:val="24"/>
          <w:lang w:val="en-US" w:eastAsia="zh-CN" w:bidi="ar-SA"/>
        </w:rPr>
        <w:t>《食品安全法》等相关法律法规的要求。</w:t>
      </w:r>
    </w:p>
    <w:p w14:paraId="639B45ED">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（二）生产工艺符合国家要求。</w:t>
      </w:r>
    </w:p>
    <w:p w14:paraId="630898EA">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（三）食材包装及标识符合国家有关规范要求。</w:t>
      </w:r>
    </w:p>
    <w:p w14:paraId="736B87C3">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第八条 乙方免费提供的服务</w:t>
      </w:r>
    </w:p>
    <w:p w14:paraId="02C818AE">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（一）乙方为合法供应商的资格证明文件。</w:t>
      </w:r>
    </w:p>
    <w:p w14:paraId="559C53AD">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（二）乙方随同货物提供相应的质检报告或货物符合国家标准的证明文件。</w:t>
      </w:r>
    </w:p>
    <w:p w14:paraId="151E17A0">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（三）《原料购进验收单》。</w:t>
      </w:r>
    </w:p>
    <w:p w14:paraId="4C0694B9">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cs="宋体"/>
          <w:bCs/>
          <w:kern w:val="2"/>
          <w:sz w:val="24"/>
          <w:szCs w:val="24"/>
          <w:lang w:val="en-US" w:eastAsia="zh-CN" w:bidi="ar-SA"/>
        </w:rPr>
        <w:t>（</w:t>
      </w:r>
      <w:r>
        <w:rPr>
          <w:rFonts w:hint="eastAsia" w:ascii="宋体" w:hAnsi="宋体" w:eastAsia="宋体" w:cs="宋体"/>
          <w:bCs/>
          <w:kern w:val="2"/>
          <w:sz w:val="24"/>
          <w:szCs w:val="24"/>
          <w:lang w:val="en-US" w:eastAsia="zh-CN" w:bidi="ar-SA"/>
        </w:rPr>
        <w:t xml:space="preserve">四）乙方配送负责人：       联系电话：      </w:t>
      </w:r>
    </w:p>
    <w:p w14:paraId="749CC7FA">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第九条  违约责任</w:t>
      </w:r>
    </w:p>
    <w:p w14:paraId="3C3BF3E4">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（一）按《中华人民共和国政府采购法》、《中华人民共和国民法典》中的相关条款执行。</w:t>
      </w:r>
    </w:p>
    <w:p w14:paraId="3E115578">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（二）</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责任</w:t>
      </w:r>
    </w:p>
    <w:p w14:paraId="31512016">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1、除乙方配送食材不符合合同约定的规格、型号、质量及质保期要求外，</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不得拒绝接收或随意退（换）货。</w:t>
      </w:r>
    </w:p>
    <w:p w14:paraId="0F7CC55A">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2、乙方同一配送计划配送的食材一次不合格一个品种扣除履约保证金20元，前两周不计。经过三次验收，仍不能满足招标文件要求或</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需求的，</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有权解除本合同，并立即终止乙方的供应资格。</w:t>
      </w:r>
    </w:p>
    <w:p w14:paraId="4E4485EB">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480" w:firstLineChars="200"/>
        <w:jc w:val="left"/>
        <w:textAlignment w:val="auto"/>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3、乙方如果出现一月内迟到（20分钟以上）三次者，</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有权解除本合同，并立即终止乙方的供应资格。迟到一次扣除履约保证金50元，一月迟到三次解除合同。</w:t>
      </w:r>
    </w:p>
    <w:p w14:paraId="72EE91A4">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（三）乙方责任</w:t>
      </w:r>
    </w:p>
    <w:p w14:paraId="07943C93">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1、乙方未能按期履行合同或未按合同要求提供食材或提供的食材经两次验收仍不能满足招标文件要求或</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需求的，</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有权解除合同，并对乙方的违约行为进行追究，同时按《中华人民共和国政府采购法》和陕西省政府采购供应商管理办法进行相应处罚，因此给</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造成的一切损失均由乙方承担。</w:t>
      </w:r>
    </w:p>
    <w:p w14:paraId="6034FDDC">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2、乙方对</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解除合同不予认可的，应在收到</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书面解除通知之日起7日内依法提出异议。</w:t>
      </w:r>
    </w:p>
    <w:p w14:paraId="43C7177D">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3、乙方提交的食材，在</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验收前，出现的毁损灭失风险，由乙方承担。</w:t>
      </w:r>
    </w:p>
    <w:p w14:paraId="6D93A537">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第十条  不可抗力</w:t>
      </w:r>
    </w:p>
    <w:p w14:paraId="2C4FF14B">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（一）本合同中不可抗力指地震、台风、水灾、战争、罢工以及其它双方不能预见、不能避免并不能克服的客观情况。</w:t>
      </w:r>
    </w:p>
    <w:p w14:paraId="393F2F0D">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（二）由于不可抗力致使合同无法履行的，受不可抗力影响一方，应立即将履行本合同的事实书面通知对方，并在不可抗力发生之日起十五日内提供有关相关政府部门或公证机关出具的证明文件。</w:t>
      </w:r>
    </w:p>
    <w:p w14:paraId="4F196E5C">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三）本合同在不可抗力影响范围及其持续期间内将中止履行，本合同执行时间可根据中止时间相应顺延，双方无须承担违约责任。不可抗力事件消除后，双方应就合同的履行及后续问题进行协商。如不可抗力原因造成合同中止超过60天，任何一方均有权解除本合同。</w:t>
      </w:r>
    </w:p>
    <w:p w14:paraId="2D839EEA">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（四）一方延迟履行合同后发生不可抗力的，不能免除责任。</w:t>
      </w:r>
    </w:p>
    <w:p w14:paraId="6055920C">
      <w:pPr>
        <w:keepNext w:val="0"/>
        <w:keepLines w:val="0"/>
        <w:pageBreakBefore w:val="0"/>
        <w:kinsoku/>
        <w:wordWrap/>
        <w:overflowPunct/>
        <w:topLinePunct w:val="0"/>
        <w:bidi w:val="0"/>
        <w:snapToGrid w:val="0"/>
        <w:spacing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第十一条  验收</w:t>
      </w:r>
    </w:p>
    <w:p w14:paraId="1AE6B3A5">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cs="宋体"/>
          <w:color w:val="auto"/>
          <w:sz w:val="24"/>
          <w:szCs w:val="24"/>
          <w:highlight w:val="none"/>
        </w:rPr>
        <w:t xml:space="preserve"> </w:t>
      </w:r>
      <w:r>
        <w:rPr>
          <w:rFonts w:hint="eastAsia" w:ascii="宋体" w:hAnsi="宋体" w:eastAsia="宋体" w:cs="宋体"/>
          <w:bCs/>
          <w:kern w:val="2"/>
          <w:sz w:val="24"/>
          <w:szCs w:val="24"/>
          <w:lang w:val="en-US" w:eastAsia="zh-CN" w:bidi="ar-SA"/>
        </w:rPr>
        <w:t xml:space="preserve">  验收方案：</w:t>
      </w:r>
    </w:p>
    <w:p w14:paraId="32A2CFDB">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（一）供应商必须严格按学院教学计划要求，及时准确足量将用料单所列全部原材料送至学院指定地点，且确保物料新鲜符合要求。 </w:t>
      </w:r>
    </w:p>
    <w:p w14:paraId="7D8C42AA">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（二）供应商交货前对货物作出全面检查并列出交货清单，作为甲方收货验收和使用的依据。 </w:t>
      </w:r>
    </w:p>
    <w:p w14:paraId="2EB4CCA1">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（三）货物运抵现场后，甲方依据竞争性谈判文件上的技术规格要求和国家有关质量标准组织初步验收，如甲方提出货物品质不符合要求，则供应商无条件上门更换。</w:t>
      </w:r>
    </w:p>
    <w:p w14:paraId="46322F07">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（四）其他未尽事宜应严格按照《财政部关于进一步加强政府采购需求和履约验收管理的指导意见》(财库(2016) 205号)的要求进行。</w:t>
      </w:r>
    </w:p>
    <w:p w14:paraId="02CEAD77">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验收依据：</w:t>
      </w:r>
    </w:p>
    <w:p w14:paraId="12BAB857">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（一）谈判文件、成交供应商的谈判响应文件及澄清函；</w:t>
      </w:r>
    </w:p>
    <w:p w14:paraId="202F4D4B">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（二）本合同及附件文本；</w:t>
      </w:r>
    </w:p>
    <w:p w14:paraId="0D5642FC">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（三）国家相应标准、规范。</w:t>
      </w:r>
    </w:p>
    <w:p w14:paraId="51B6CAFC">
      <w:pPr>
        <w:keepNext w:val="0"/>
        <w:keepLines w:val="0"/>
        <w:pageBreakBefore w:val="0"/>
        <w:kinsoku/>
        <w:wordWrap/>
        <w:overflowPunct/>
        <w:topLinePunct w:val="0"/>
        <w:bidi w:val="0"/>
        <w:snapToGrid w:val="0"/>
        <w:spacing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第十二条  合同争议解决的方式</w:t>
      </w:r>
    </w:p>
    <w:p w14:paraId="633AB7D0">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本合同在履行过程中发生的争议，由甲、乙双方当事人协商解决，协商不成的按下列 第      种方式解决：</w:t>
      </w:r>
    </w:p>
    <w:p w14:paraId="3565B4C7">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（一）提交西安市仲裁委员会仲裁；</w:t>
      </w:r>
    </w:p>
    <w:p w14:paraId="6AEC5A6D">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（二）依法向甲方所在地人民法院起诉。</w:t>
      </w:r>
    </w:p>
    <w:p w14:paraId="365E001A">
      <w:pPr>
        <w:keepNext w:val="0"/>
        <w:keepLines w:val="0"/>
        <w:pageBreakBefore w:val="0"/>
        <w:kinsoku/>
        <w:wordWrap/>
        <w:overflowPunct/>
        <w:topLinePunct w:val="0"/>
        <w:bidi w:val="0"/>
        <w:snapToGrid w:val="0"/>
        <w:spacing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第十三条  合同生效</w:t>
      </w:r>
    </w:p>
    <w:p w14:paraId="48794A7C">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（一）本合同须经甲、乙双方的法定代表人（授权代理人）在合同书上签字并加盖本单位公章后正式生效。</w:t>
      </w:r>
    </w:p>
    <w:p w14:paraId="6A866E5E">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（二）合同生效后，甲、乙双方须严格执行本合同条款的规定，全面履行合同，违者按《中华人民共和国民法典》的有关规定承担相应责任。</w:t>
      </w:r>
    </w:p>
    <w:p w14:paraId="52807025">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（三）</w:t>
      </w: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rPr>
        <w:t xml:space="preserve"> </w:t>
      </w:r>
      <w:r>
        <w:rPr>
          <w:rFonts w:hint="eastAsia" w:ascii="宋体" w:hAnsi="宋体" w:cs="宋体"/>
          <w:bCs/>
          <w:color w:val="000000"/>
          <w:sz w:val="24"/>
          <w:szCs w:val="24"/>
          <w:u w:val="single"/>
          <w:lang w:val="en-US" w:eastAsia="zh-CN"/>
        </w:rPr>
        <w:t>柒</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份，甲方执</w:t>
      </w:r>
      <w:r>
        <w:rPr>
          <w:rFonts w:hint="eastAsia" w:ascii="宋体" w:hAnsi="宋体" w:eastAsia="宋体" w:cs="宋体"/>
          <w:bCs/>
          <w:color w:val="000000"/>
          <w:sz w:val="24"/>
          <w:szCs w:val="24"/>
          <w:u w:val="single"/>
        </w:rPr>
        <w:t xml:space="preserve"> </w:t>
      </w:r>
      <w:r>
        <w:rPr>
          <w:rFonts w:hint="eastAsia" w:ascii="宋体" w:hAnsi="宋体" w:cs="宋体"/>
          <w:bCs/>
          <w:color w:val="000000"/>
          <w:sz w:val="24"/>
          <w:szCs w:val="24"/>
          <w:u w:val="single"/>
          <w:lang w:val="en-US" w:eastAsia="zh-CN"/>
        </w:rPr>
        <w:t>肆</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r>
        <w:rPr>
          <w:rFonts w:hint="eastAsia" w:ascii="宋体" w:hAnsi="宋体" w:cs="宋体"/>
          <w:bCs/>
          <w:color w:val="000000"/>
          <w:sz w:val="24"/>
          <w:szCs w:val="24"/>
          <w:lang w:eastAsia="zh-CN"/>
        </w:rPr>
        <w:t>，</w:t>
      </w:r>
      <w:r>
        <w:rPr>
          <w:rFonts w:hint="eastAsia" w:ascii="宋体" w:hAnsi="宋体" w:eastAsia="宋体" w:cs="宋体"/>
          <w:bCs/>
          <w:color w:val="000000"/>
          <w:sz w:val="24"/>
          <w:szCs w:val="24"/>
        </w:rPr>
        <w:t>乙方执</w:t>
      </w:r>
      <w:r>
        <w:rPr>
          <w:rFonts w:hint="eastAsia" w:ascii="宋体" w:hAnsi="宋体" w:eastAsia="宋体" w:cs="宋体"/>
          <w:bCs/>
          <w:color w:val="000000"/>
          <w:sz w:val="24"/>
          <w:szCs w:val="24"/>
          <w:u w:val="single"/>
        </w:rPr>
        <w:t xml:space="preserve"> </w:t>
      </w:r>
      <w:r>
        <w:rPr>
          <w:rFonts w:hint="eastAsia" w:ascii="宋体" w:hAnsi="宋体" w:cs="宋体"/>
          <w:bCs/>
          <w:color w:val="000000"/>
          <w:sz w:val="24"/>
          <w:szCs w:val="24"/>
          <w:u w:val="single"/>
          <w:lang w:eastAsia="zh-CN"/>
        </w:rPr>
        <w:t>贰</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r>
        <w:rPr>
          <w:rFonts w:hint="eastAsia" w:ascii="宋体" w:hAnsi="宋体" w:cs="宋体"/>
          <w:bCs/>
          <w:color w:val="000000"/>
          <w:sz w:val="24"/>
          <w:szCs w:val="24"/>
          <w:lang w:eastAsia="zh-CN"/>
        </w:rPr>
        <w:t>，</w:t>
      </w:r>
      <w:r>
        <w:rPr>
          <w:rFonts w:hint="eastAsia" w:ascii="宋体" w:hAnsi="宋体" w:eastAsia="宋体" w:cs="宋体"/>
          <w:bCs/>
          <w:color w:val="000000"/>
          <w:sz w:val="24"/>
          <w:szCs w:val="24"/>
          <w:lang w:val="en-US" w:eastAsia="zh-CN"/>
        </w:rPr>
        <w:t>鉴证方</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壹</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14:paraId="1C52EF87">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（四）本合同如有未尽事宜，甲、乙双方协商解决。</w:t>
      </w:r>
    </w:p>
    <w:p w14:paraId="0F713267">
      <w:pPr>
        <w:rPr>
          <w:rFonts w:hint="eastAsia" w:ascii="宋体" w:hAnsi="宋体" w:cs="宋体"/>
          <w:bCs/>
          <w:color w:val="auto"/>
          <w:sz w:val="24"/>
          <w:highlight w:val="none"/>
        </w:rPr>
      </w:pPr>
    </w:p>
    <w:tbl>
      <w:tblPr>
        <w:tblStyle w:val="7"/>
        <w:tblW w:w="9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3245"/>
        <w:gridCol w:w="3833"/>
      </w:tblGrid>
      <w:tr w14:paraId="3523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60DA1C36">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甲  方</w:t>
            </w:r>
          </w:p>
        </w:tc>
        <w:tc>
          <w:tcPr>
            <w:tcW w:w="3245" w:type="dxa"/>
            <w:noWrap w:val="0"/>
            <w:vAlign w:val="top"/>
          </w:tcPr>
          <w:p w14:paraId="0ADD831C">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乙  方</w:t>
            </w:r>
          </w:p>
        </w:tc>
        <w:tc>
          <w:tcPr>
            <w:tcW w:w="3833" w:type="dxa"/>
            <w:noWrap w:val="0"/>
            <w:vAlign w:val="top"/>
          </w:tcPr>
          <w:p w14:paraId="189E82E3">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鉴 证 方</w:t>
            </w:r>
          </w:p>
        </w:tc>
      </w:tr>
      <w:tr w14:paraId="34147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2880" w:type="dxa"/>
            <w:noWrap w:val="0"/>
            <w:vAlign w:val="center"/>
          </w:tcPr>
          <w:p w14:paraId="385E7FA4">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西安商贸旅游技师学院</w:t>
            </w:r>
          </w:p>
          <w:p w14:paraId="69A82C33">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p>
          <w:p w14:paraId="17DB84E1">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c>
          <w:tcPr>
            <w:tcW w:w="3245" w:type="dxa"/>
            <w:noWrap w:val="0"/>
            <w:vAlign w:val="center"/>
          </w:tcPr>
          <w:p w14:paraId="391E5471">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成交供应商全称</w:t>
            </w:r>
          </w:p>
          <w:p w14:paraId="76D3C1ED">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（请填写具体名称）</w:t>
            </w:r>
          </w:p>
          <w:p w14:paraId="6F48A0F4">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c>
          <w:tcPr>
            <w:tcW w:w="3833" w:type="dxa"/>
            <w:noWrap w:val="0"/>
            <w:vAlign w:val="center"/>
          </w:tcPr>
          <w:p w14:paraId="0FEC1942">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陕西明正招标有限公司</w:t>
            </w:r>
          </w:p>
          <w:p w14:paraId="532F32C4">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p>
          <w:p w14:paraId="052718DC">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（盖鉴证</w:t>
            </w:r>
            <w:r>
              <w:rPr>
                <w:rFonts w:hint="eastAsia" w:ascii="宋体" w:hAnsi="宋体" w:eastAsia="宋体" w:cs="宋体"/>
                <w:sz w:val="24"/>
                <w:szCs w:val="24"/>
                <w:lang w:val="en-US" w:eastAsia="zh-CN"/>
              </w:rPr>
              <w:t>章</w:t>
            </w:r>
            <w:r>
              <w:rPr>
                <w:rFonts w:hint="eastAsia" w:ascii="宋体" w:hAnsi="宋体" w:eastAsia="宋体" w:cs="宋体"/>
                <w:sz w:val="24"/>
                <w:szCs w:val="24"/>
              </w:rPr>
              <w:t>）</w:t>
            </w:r>
          </w:p>
        </w:tc>
      </w:tr>
      <w:tr w14:paraId="1C2FE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2880" w:type="dxa"/>
            <w:noWrap w:val="0"/>
            <w:vAlign w:val="top"/>
          </w:tcPr>
          <w:p w14:paraId="181A7D9E">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3245" w:type="dxa"/>
            <w:noWrap w:val="0"/>
            <w:vAlign w:val="top"/>
          </w:tcPr>
          <w:p w14:paraId="6B5DC3C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地址：</w:t>
            </w:r>
          </w:p>
        </w:tc>
        <w:tc>
          <w:tcPr>
            <w:tcW w:w="3833" w:type="dxa"/>
            <w:tcBorders>
              <w:top w:val="single" w:color="auto" w:sz="4" w:space="0"/>
              <w:left w:val="single" w:color="auto" w:sz="4" w:space="0"/>
              <w:bottom w:val="single" w:color="auto" w:sz="4" w:space="0"/>
              <w:right w:val="single" w:color="auto" w:sz="4" w:space="0"/>
            </w:tcBorders>
            <w:noWrap w:val="0"/>
            <w:vAlign w:val="center"/>
          </w:tcPr>
          <w:p w14:paraId="473D5CE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西安市雁塔区二环南路西段88号老三届世纪星大厦30层AB座</w:t>
            </w:r>
          </w:p>
        </w:tc>
      </w:tr>
      <w:tr w14:paraId="7EFD0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340EC63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c>
          <w:tcPr>
            <w:tcW w:w="3245" w:type="dxa"/>
            <w:noWrap w:val="0"/>
            <w:vAlign w:val="top"/>
          </w:tcPr>
          <w:p w14:paraId="4AAF8FA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c>
          <w:tcPr>
            <w:tcW w:w="3833" w:type="dxa"/>
            <w:tcBorders>
              <w:top w:val="single" w:color="auto" w:sz="4" w:space="0"/>
              <w:left w:val="single" w:color="auto" w:sz="4" w:space="0"/>
              <w:bottom w:val="single" w:color="auto" w:sz="4" w:space="0"/>
              <w:right w:val="single" w:color="auto" w:sz="4" w:space="0"/>
            </w:tcBorders>
            <w:noWrap w:val="0"/>
            <w:vAlign w:val="center"/>
          </w:tcPr>
          <w:p w14:paraId="5645822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r>
              <w:rPr>
                <w:rFonts w:hint="eastAsia" w:ascii="宋体" w:hAnsi="宋体" w:eastAsia="宋体" w:cs="宋体"/>
                <w:sz w:val="24"/>
                <w:szCs w:val="24"/>
                <w:lang w:eastAsia="zh-CN"/>
              </w:rPr>
              <w:t>710061</w:t>
            </w:r>
          </w:p>
        </w:tc>
      </w:tr>
      <w:tr w14:paraId="50C1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4C93E19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w:t>
            </w:r>
          </w:p>
        </w:tc>
        <w:tc>
          <w:tcPr>
            <w:tcW w:w="3245" w:type="dxa"/>
            <w:noWrap w:val="0"/>
            <w:vAlign w:val="top"/>
          </w:tcPr>
          <w:p w14:paraId="4D88128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法定代表人：</w:t>
            </w:r>
          </w:p>
        </w:tc>
        <w:tc>
          <w:tcPr>
            <w:tcW w:w="3833" w:type="dxa"/>
            <w:tcBorders>
              <w:top w:val="single" w:color="auto" w:sz="4" w:space="0"/>
              <w:left w:val="single" w:color="auto" w:sz="4" w:space="0"/>
              <w:bottom w:val="single" w:color="auto" w:sz="4" w:space="0"/>
              <w:right w:val="single" w:color="auto" w:sz="4" w:space="0"/>
            </w:tcBorders>
            <w:noWrap w:val="0"/>
            <w:vAlign w:val="center"/>
          </w:tcPr>
          <w:p w14:paraId="4C4080B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电话：029-8</w:t>
            </w:r>
            <w:r>
              <w:rPr>
                <w:rFonts w:hint="eastAsia" w:ascii="宋体" w:hAnsi="宋体" w:eastAsia="宋体" w:cs="宋体"/>
                <w:sz w:val="24"/>
                <w:szCs w:val="24"/>
                <w:lang w:val="en-US" w:eastAsia="zh-CN"/>
              </w:rPr>
              <w:t>7551608</w:t>
            </w:r>
          </w:p>
        </w:tc>
      </w:tr>
      <w:tr w14:paraId="6A4F8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2880" w:type="dxa"/>
            <w:noWrap w:val="0"/>
            <w:vAlign w:val="top"/>
          </w:tcPr>
          <w:p w14:paraId="0F5C7B7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c>
          <w:tcPr>
            <w:tcW w:w="3245" w:type="dxa"/>
            <w:noWrap w:val="0"/>
            <w:vAlign w:val="top"/>
          </w:tcPr>
          <w:p w14:paraId="15CC4F2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c>
          <w:tcPr>
            <w:tcW w:w="3833" w:type="dxa"/>
            <w:tcBorders>
              <w:top w:val="single" w:color="auto" w:sz="4" w:space="0"/>
              <w:left w:val="single" w:color="auto" w:sz="4" w:space="0"/>
              <w:bottom w:val="single" w:color="auto" w:sz="4" w:space="0"/>
              <w:right w:val="single" w:color="auto" w:sz="4" w:space="0"/>
            </w:tcBorders>
            <w:noWrap w:val="0"/>
            <w:vAlign w:val="top"/>
          </w:tcPr>
          <w:p w14:paraId="49CCBB95">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传真：</w:t>
            </w:r>
            <w:r>
              <w:rPr>
                <w:rFonts w:hint="eastAsia" w:ascii="宋体" w:hAnsi="宋体" w:eastAsia="宋体" w:cs="宋体"/>
                <w:sz w:val="24"/>
                <w:szCs w:val="24"/>
                <w:lang w:val="en-US" w:eastAsia="zh-CN"/>
              </w:rPr>
              <w:t>/</w:t>
            </w:r>
          </w:p>
        </w:tc>
      </w:tr>
      <w:tr w14:paraId="787E1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2880" w:type="dxa"/>
            <w:noWrap w:val="0"/>
            <w:vAlign w:val="top"/>
          </w:tcPr>
          <w:p w14:paraId="2991A2A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3245" w:type="dxa"/>
            <w:noWrap w:val="0"/>
            <w:vAlign w:val="top"/>
          </w:tcPr>
          <w:p w14:paraId="0BE36C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3833" w:type="dxa"/>
            <w:tcBorders>
              <w:top w:val="single" w:color="auto" w:sz="4" w:space="0"/>
              <w:left w:val="single" w:color="auto" w:sz="4" w:space="0"/>
              <w:bottom w:val="single" w:color="auto" w:sz="4" w:space="0"/>
              <w:right w:val="single" w:color="auto" w:sz="4" w:space="0"/>
            </w:tcBorders>
            <w:noWrap w:val="0"/>
            <w:vAlign w:val="center"/>
          </w:tcPr>
          <w:p w14:paraId="7629A0A8">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r>
      <w:tr w14:paraId="3D0BE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1F52D505">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3245" w:type="dxa"/>
            <w:noWrap w:val="0"/>
            <w:vAlign w:val="top"/>
          </w:tcPr>
          <w:p w14:paraId="74F83A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3833" w:type="dxa"/>
            <w:tcBorders>
              <w:top w:val="single" w:color="auto" w:sz="4" w:space="0"/>
              <w:left w:val="single" w:color="auto" w:sz="4" w:space="0"/>
              <w:bottom w:val="single" w:color="auto" w:sz="4" w:space="0"/>
              <w:right w:val="single" w:color="auto" w:sz="4" w:space="0"/>
            </w:tcBorders>
            <w:noWrap w:val="0"/>
            <w:vAlign w:val="top"/>
          </w:tcPr>
          <w:p w14:paraId="112B1707">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r>
      <w:tr w14:paraId="40702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049D12E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3245" w:type="dxa"/>
            <w:noWrap w:val="0"/>
            <w:vAlign w:val="top"/>
          </w:tcPr>
          <w:p w14:paraId="5CDDCC5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3833" w:type="dxa"/>
            <w:noWrap w:val="0"/>
            <w:vAlign w:val="top"/>
          </w:tcPr>
          <w:p w14:paraId="4CD1C44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r>
      <w:tr w14:paraId="5A461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0768DA0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3245" w:type="dxa"/>
            <w:noWrap w:val="0"/>
            <w:vAlign w:val="top"/>
          </w:tcPr>
          <w:p w14:paraId="3D538017">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账号：</w:t>
            </w:r>
          </w:p>
        </w:tc>
        <w:tc>
          <w:tcPr>
            <w:tcW w:w="3833" w:type="dxa"/>
            <w:noWrap w:val="0"/>
            <w:vAlign w:val="top"/>
          </w:tcPr>
          <w:p w14:paraId="533AB00E">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r>
      <w:tr w14:paraId="2189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880" w:type="dxa"/>
            <w:noWrap w:val="0"/>
            <w:vAlign w:val="top"/>
          </w:tcPr>
          <w:p w14:paraId="46BC2050">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c>
          <w:tcPr>
            <w:tcW w:w="3245" w:type="dxa"/>
            <w:noWrap w:val="0"/>
            <w:vAlign w:val="top"/>
          </w:tcPr>
          <w:p w14:paraId="6D983B7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c>
          <w:tcPr>
            <w:tcW w:w="3833" w:type="dxa"/>
            <w:noWrap w:val="0"/>
            <w:vAlign w:val="top"/>
          </w:tcPr>
          <w:p w14:paraId="2B2D3FB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r>
    </w:tbl>
    <w:p w14:paraId="73BB8AC9">
      <w:pPr>
        <w:pStyle w:val="6"/>
        <w:keepNext w:val="0"/>
        <w:keepLines w:val="0"/>
        <w:pageBreakBefore w:val="0"/>
        <w:widowControl w:val="0"/>
        <w:kinsoku/>
        <w:wordWrap/>
        <w:overflowPunct/>
        <w:topLinePunct w:val="0"/>
        <w:autoSpaceDE/>
        <w:autoSpaceDN/>
        <w:bidi w:val="0"/>
        <w:adjustRightInd/>
        <w:snapToGrid/>
        <w:spacing w:after="0" w:line="5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附件一：</w:t>
      </w:r>
    </w:p>
    <w:p w14:paraId="192DC9FE">
      <w:pPr>
        <w:pStyle w:val="6"/>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采购内容</w:t>
      </w:r>
    </w:p>
    <w:p w14:paraId="2723135D">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第一肉类</w:t>
      </w:r>
    </w:p>
    <w:p w14:paraId="75F9A56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（一）肉品类</w:t>
      </w:r>
    </w:p>
    <w:p w14:paraId="2EDC1B7E">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（1）家畜类：</w:t>
      </w:r>
    </w:p>
    <w:p w14:paraId="395F890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猪肉：呈鲜红色，有光泽，脂肪洁白，肉的外表微干或微湿润，不粘手，指压后凹陷立即恢复，具有新鲜猪肉的正常气味。有检疫合格印章。</w:t>
      </w:r>
    </w:p>
    <w:p w14:paraId="419E4B9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牛肉：新鲜的模肉肌肉色泽呈鲜红色，有光泽，肥肉部分接近白色；表面微干，有风干膜，不黏手；弹性好，指压后凹陷能立即恢复；具有牛肉特有的气味。</w:t>
      </w:r>
    </w:p>
    <w:p w14:paraId="0669A659">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羊肉：肉色鲜红而且均匀，有光泽，肉细而紧密，有弹性，外表略干，不粘手，气味新鲜，无其他异味。</w:t>
      </w:r>
    </w:p>
    <w:p w14:paraId="4FEFC79D">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（2）家禽类：</w:t>
      </w:r>
    </w:p>
    <w:p w14:paraId="5212B88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禽类:眼球饱满，皮肤有光泽，肌肉切面发光，外表微干或微湿润，不粘手，指压后凹陷能立即恢复。</w:t>
      </w:r>
    </w:p>
    <w:p w14:paraId="1C9D379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（3）水产类：</w:t>
      </w:r>
    </w:p>
    <w:p w14:paraId="06D366D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1、活鲜鱼类</w:t>
      </w:r>
    </w:p>
    <w:p w14:paraId="24BB208C">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神态——在水中游动自如</w:t>
      </w:r>
    </w:p>
    <w:p w14:paraId="425E729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体态——无伤残、无畸形、无病害</w:t>
      </w:r>
    </w:p>
    <w:p w14:paraId="3DFC16A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体表——鳞片完整无损，无皮下出血现象及红色鱼鳞。</w:t>
      </w:r>
    </w:p>
    <w:p w14:paraId="50484BA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行动迟缓、反肚、慌乱、狂游的鱼表明己接近死亡或已有病害。有红色鱼鳞之鱼须挑出拒收。</w:t>
      </w:r>
    </w:p>
    <w:p w14:paraId="2C944B67">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2、虾类:个大而均匀，活蹦乱跳(或能活动)</w:t>
      </w:r>
    </w:p>
    <w:p w14:paraId="2A10D27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3、蟹类</w:t>
      </w:r>
    </w:p>
    <w:p w14:paraId="48DFC099">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大闸蟹——青皮、 白肚、黄毛、金螯及蟹脚刚劲有力，膘壮肉厚，膏多，堆在地上，能迅速四面爬开</w:t>
      </w:r>
    </w:p>
    <w:p w14:paraId="083C45DC">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海蟹——体肥、甲壳色泽正常，腹部洁白，雌蟹有膏时，头胸甲棘尖，反面透黄色，螯及蟹脚有力。</w:t>
      </w:r>
    </w:p>
    <w:p w14:paraId="527C540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4、贝类</w:t>
      </w:r>
    </w:p>
    <w:p w14:paraId="5DD5A5B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双壳贝类——外壳具固有色泽，平时微张口、受惊闭合，斧足与触管伸缩灵活，具固有气味。</w:t>
      </w:r>
    </w:p>
    <w:p w14:paraId="28BAF5FC">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单壳贝类——贝肉收缩 自如，用手指抚平后能回缩</w:t>
      </w:r>
    </w:p>
    <w:p w14:paraId="2489EF55">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5、冰鲜鱼</w:t>
      </w:r>
    </w:p>
    <w:p w14:paraId="571BD8D7">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皮肤——类金属、 光泽哑色的表面显示其已不温鲜</w:t>
      </w:r>
    </w:p>
    <w:p w14:paraId="05AF8AC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眼睛——饱满明亮、 清晰且完整、瞳孔黑、角膜清澈</w:t>
      </w:r>
    </w:p>
    <w:p w14:paraId="2F3653C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鳃——鲜红色或血红色、含粘液且没有粘泥</w:t>
      </w:r>
    </w:p>
    <w:p w14:paraId="51BC209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鱼肚——内收或平整，不突出，不破肛</w:t>
      </w:r>
    </w:p>
    <w:p w14:paraId="2E33756D">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体外粘液——透明或水白</w:t>
      </w:r>
    </w:p>
    <w:p w14:paraId="2B9B1519">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肉质——坚实且富有弹性，轻按下鱼肉后，手指的凹陷处可立刻恢复</w:t>
      </w:r>
    </w:p>
    <w:p w14:paraId="4308800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气味——温和的海水味或鲜海藻味，无氯味腐臭味</w:t>
      </w:r>
    </w:p>
    <w:p w14:paraId="5345A924">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体表——鱼鳞完整、体表无破损</w:t>
      </w:r>
    </w:p>
    <w:p w14:paraId="3F16916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6、冰鲜虾</w:t>
      </w:r>
    </w:p>
    <w:p w14:paraId="19674095">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有固有的颜色，不发白或红；头胸甲与躯干连接紧密，无断头现象；虾身清洁无污物。</w:t>
      </w:r>
    </w:p>
    <w:p w14:paraId="0F41732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（二）冻品类</w:t>
      </w:r>
    </w:p>
    <w:p w14:paraId="76F2C315">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1、整箱包装完整、无破箱、生产地址明显。</w:t>
      </w:r>
    </w:p>
    <w:p w14:paraId="4878F83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2、验货时，要拆箱检查，如含水量太多称重时适当按比例除冰块的重量。</w:t>
      </w:r>
    </w:p>
    <w:p w14:paraId="757EFF6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3、如冻品解冻、软化、出水带血水，则不能收货。</w:t>
      </w:r>
    </w:p>
    <w:p w14:paraId="470B067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4、称重时要扣除纸箱、冰块的重量，以货品净重为准。如果外包装箱上标有净冰块的重量，以货品净重为准。如果外包装箱上标有净重，按净重入库，如果没有净重标识，按5%扣除含冰量。</w:t>
      </w:r>
    </w:p>
    <w:p w14:paraId="5EC5DE0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第二粮油类</w:t>
      </w:r>
    </w:p>
    <w:p w14:paraId="2E011D93">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（一）面粉及淀粉类</w:t>
      </w:r>
    </w:p>
    <w:p w14:paraId="302B3E32">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面粉：均为整袋采购，要求完整原厂包装，生产合格证、SC证号完备，外包装无污损，保质期剩余至少二分之一以上。不同种类面粉的化学和卫生指标应符合《中华人民共和国国家标准》中面粉的指标要求。原袋分装应有完整包装、生产日期等信息，指标符合国家标准。</w:t>
      </w:r>
    </w:p>
    <w:p w14:paraId="4DAA1C8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淀粉类：整袋采购有完整原厂包装，生产合格证、SC证号完备，外包装无污损，保质期剩余至少二分之一以上。散装淀粉需在保质期内，色泽洁白，无杂质，无异味，无虫蚀，无霉变，分装盛器需使用食品级包材。</w:t>
      </w:r>
    </w:p>
    <w:p w14:paraId="186A1CF1">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（二）米及米粉类</w:t>
      </w:r>
    </w:p>
    <w:p w14:paraId="0B769242">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米：整袋采购的必须有完整原厂包装，生产合格证、SC证号完备，外包装无污损，保质期剩余至少二分之一以上。不同种类米的化学和卫生指标应符合《中华人民共和国国家标准》中米的指标要求。散装米米粒饱满，光泽度高，腹白低，残缺粒、爆腰粒少，米香味正，无杂质，无虫害，分装盛器需使用食品级包材。</w:t>
      </w:r>
    </w:p>
    <w:p w14:paraId="523F9313">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米粉类：整袋采购有完整原厂包装，生产合格证、SC证号完备，外包装无污损，保质期剩余至少二分之一以上。散装米粉需在保质期内，色泽洁白，无杂质，无异味，无虫蚀，无霉变，分装盛器需使用食品级包材。</w:t>
      </w:r>
    </w:p>
    <w:p w14:paraId="4B16C481">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（三）食用油脂类</w:t>
      </w:r>
    </w:p>
    <w:p w14:paraId="782D8642">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植物油：有完整的原厂包装，生产合格证、SC证号完备，外包装无污损，保质期剩余至少二分之一以上。</w:t>
      </w:r>
    </w:p>
    <w:p w14:paraId="6FAF120D">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动物油：精炼动物油应有完整的原厂包装，生产合格证、SC证号完备，外包装无污损，保质期剩余至少二分之一以上。</w:t>
      </w:r>
    </w:p>
    <w:p w14:paraId="425601D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合成油：有完整的原厂包装，生产合格证、SC证号完备，外包装无污损，保质期剩余至少二分之一以上，植脂鲜奶油应冷链运输保藏。</w:t>
      </w:r>
    </w:p>
    <w:p w14:paraId="2BEA121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（四）杂粮类</w:t>
      </w:r>
    </w:p>
    <w:p w14:paraId="472A3152">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豆：豆类应无杂质、无霉变、无异味、无虫蚀、无杂豆、无鼠害、表面有光泽，均为当年新豆。</w:t>
      </w:r>
    </w:p>
    <w:p w14:paraId="29C94903">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豆沙：整包采购，应有生产合格证、SC证号完备，外包装无污损，保质期剩余至少二分之一以上。</w:t>
      </w:r>
    </w:p>
    <w:p w14:paraId="40F40BAC">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第三蛋、乳类</w:t>
      </w:r>
    </w:p>
    <w:p w14:paraId="4224804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（一）乳品类</w:t>
      </w:r>
    </w:p>
    <w:p w14:paraId="57931AE1">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鲜乳和炼乳：均为整箱或整包采购，瓶装、罐装、利乐包装或康美包装等均可，拒绝散装和简易包装。有生产合格证、SC证号完备，外包装无污损，保质期剩余至少二分之一以上。</w:t>
      </w:r>
    </w:p>
    <w:p w14:paraId="317A489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乳粉：有完整包装，拒绝散装。纯乳含量不得低于60%，有生产合格证、SC证号完备，外包装无污损，保质期剩余至少二分之一以上。</w:t>
      </w:r>
    </w:p>
    <w:p w14:paraId="55E0EA1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乳酪：整包采购，应有生产合格证、SC证号完备，外包装无污损，保质期剩余至少二分之一以上。</w:t>
      </w:r>
    </w:p>
    <w:p w14:paraId="6F6DAC9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酸乳：原包装采购，冷链运输保藏，有生产合格证、SC证号完备，外包装无污损，保质期剩余三分之二以上。</w:t>
      </w:r>
    </w:p>
    <w:p w14:paraId="4C7725A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（二）蛋品类</w:t>
      </w:r>
    </w:p>
    <w:p w14:paraId="42D3D9D2">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鲜蛋：新鲜无变质、无污染，破损率≤1%，秋冬季距生产日期不超过15天，春夏季距生产日期不超过7天。</w:t>
      </w:r>
    </w:p>
    <w:p w14:paraId="3801E0CE">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咸蛋、变蛋：无霉变，无污染，无破损，保质期剩余至少二分之一以上。</w:t>
      </w:r>
    </w:p>
    <w:p w14:paraId="1BADA732">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咸蛋黄：100%咸蛋黄，拒绝再次加工品。整包采购，应有生产合格证、SC证号完备，外包装无污损，保质期剩余至少二分之一以上。</w:t>
      </w:r>
    </w:p>
    <w:p w14:paraId="7F767127">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第四蔬菜类</w:t>
      </w:r>
    </w:p>
    <w:p w14:paraId="321819D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根茎类:茎部不老化，机体均匀，未发芽、变色</w:t>
      </w:r>
    </w:p>
    <w:p w14:paraId="4E5AA801">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叶菜类:色泽鲜亮，切口不变色，叶片挺而不干枯、不发黄。质地脆嫩、坚挺，球形叶菜，结实，无老帮</w:t>
      </w:r>
    </w:p>
    <w:p w14:paraId="64BCD2E4">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花果类:允许果形有轻微缺点，但不得变形、过熟</w:t>
      </w:r>
    </w:p>
    <w:p w14:paraId="27E3087E">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菇菌类:外形饱满，不发霉、变黑</w:t>
      </w:r>
    </w:p>
    <w:p w14:paraId="2CBAF7B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第五果品类</w:t>
      </w:r>
    </w:p>
    <w:p w14:paraId="66CCF0F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鲜果：二级果及以上，无虫害，无霉变，无失水萎蔫，农残符合国家标准。</w:t>
      </w:r>
    </w:p>
    <w:p w14:paraId="38CBFFC4">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果酱、果脯、蜜饯、水果罐头、果汁：整包采购，应有生产合格证、SC证号完备，外包装无污损，保质期剩余至少二分之一以上。果干、干果、干果片、干果碎、干果粉：无变色、无杂质、无霉变、无异味、无虫蚀、无鼠害、均为当年新果。</w:t>
      </w:r>
    </w:p>
    <w:p w14:paraId="3AACEDA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第六调味品类</w:t>
      </w:r>
    </w:p>
    <w:p w14:paraId="4141B5D9">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（一）食糖类</w:t>
      </w:r>
    </w:p>
    <w:p w14:paraId="1E1CB38E">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砂糖（糖粉）类：各类砂糖应符合《中华人民共和国国家标准》中对砂糖的色值、颗粒大小、杂质含量、甜度、含水量等标准的要求。袋装采购品应有完整的原厂包装，生产合格证、SC证号完备，外包装无污损，保质期剩余至少二分之一以上。散装品需在保质期内，无杂质，无异味，无虫蚀，无霉变，分装盛器需使用食品级包材。</w:t>
      </w:r>
    </w:p>
    <w:p w14:paraId="116CC499">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蜂蜜、糖浆类：均为整包采购，拒绝散装。品名准确，生产合格证、SC证号完备，外包装无污损，保质期剩余至少二分之一以上。</w:t>
      </w:r>
    </w:p>
    <w:p w14:paraId="5ED7C769">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（二）巧克力类</w:t>
      </w:r>
    </w:p>
    <w:p w14:paraId="76941F6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巧克力：整包采购，应有生产合格证、SC证号完备，外包装无污损，保质期剩余至少二分之一以上。</w:t>
      </w:r>
    </w:p>
    <w:p w14:paraId="04183580">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（三）食品添加剂类</w:t>
      </w:r>
    </w:p>
    <w:p w14:paraId="080484D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食品添加剂：整包采购，应有生产合格证、SC证号完备，外包装无污损，保质期剩余至少二分之一以上，生物活性添加剂（如酵母）距离生产日期不超过6个月。</w:t>
      </w:r>
    </w:p>
    <w:p w14:paraId="0EA3E500">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（四）调味品</w:t>
      </w:r>
    </w:p>
    <w:p w14:paraId="1F596C5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符合国标,距生产日期未超过2个月。外包装完整洁净，有检验合格证，食品生产许可证号。</w:t>
      </w:r>
    </w:p>
    <w:p w14:paraId="016A7F2D">
      <w:pPr>
        <w:pStyle w:val="6"/>
        <w:keepNext w:val="0"/>
        <w:keepLines w:val="0"/>
        <w:pageBreakBefore w:val="0"/>
        <w:kinsoku/>
        <w:wordWrap/>
        <w:overflowPunct/>
        <w:topLinePunct w:val="0"/>
        <w:bidi w:val="0"/>
        <w:spacing w:line="520" w:lineRule="exact"/>
        <w:rPr>
          <w:rFonts w:hint="eastAsia"/>
          <w:sz w:val="28"/>
          <w:szCs w:val="36"/>
          <w:lang w:val="en-US" w:eastAsia="zh-CN"/>
        </w:rPr>
      </w:pPr>
    </w:p>
    <w:p w14:paraId="7E0AE240">
      <w:pPr>
        <w:pStyle w:val="6"/>
        <w:keepNext w:val="0"/>
        <w:keepLines w:val="0"/>
        <w:pageBreakBefore w:val="0"/>
        <w:kinsoku/>
        <w:wordWrap/>
        <w:overflowPunct/>
        <w:topLinePunct w:val="0"/>
        <w:bidi w:val="0"/>
        <w:spacing w:line="520" w:lineRule="exact"/>
        <w:rPr>
          <w:rFonts w:hint="eastAsia"/>
          <w:sz w:val="28"/>
          <w:szCs w:val="36"/>
          <w:lang w:val="en-US" w:eastAsia="zh-CN"/>
        </w:rPr>
      </w:pPr>
    </w:p>
    <w:p w14:paraId="3A460BFD">
      <w:pPr>
        <w:pStyle w:val="6"/>
        <w:keepNext w:val="0"/>
        <w:keepLines w:val="0"/>
        <w:pageBreakBefore w:val="0"/>
        <w:kinsoku/>
        <w:wordWrap/>
        <w:overflowPunct/>
        <w:topLinePunct w:val="0"/>
        <w:bidi w:val="0"/>
        <w:spacing w:line="520" w:lineRule="exact"/>
        <w:rPr>
          <w:rFonts w:hint="eastAsia"/>
          <w:sz w:val="28"/>
          <w:szCs w:val="36"/>
          <w:lang w:val="en-US" w:eastAsia="zh-CN"/>
        </w:rPr>
      </w:pPr>
    </w:p>
    <w:p w14:paraId="38476359">
      <w:pPr>
        <w:pStyle w:val="6"/>
        <w:keepNext w:val="0"/>
        <w:keepLines w:val="0"/>
        <w:pageBreakBefore w:val="0"/>
        <w:kinsoku/>
        <w:wordWrap/>
        <w:overflowPunct/>
        <w:topLinePunct w:val="0"/>
        <w:bidi w:val="0"/>
        <w:spacing w:line="520" w:lineRule="exact"/>
        <w:rPr>
          <w:rFonts w:hint="eastAsia"/>
          <w:sz w:val="28"/>
          <w:szCs w:val="36"/>
          <w:lang w:val="en-US" w:eastAsia="zh-CN"/>
        </w:rPr>
      </w:pPr>
    </w:p>
    <w:p w14:paraId="1B27D61E">
      <w:pPr>
        <w:pStyle w:val="6"/>
        <w:keepNext w:val="0"/>
        <w:keepLines w:val="0"/>
        <w:pageBreakBefore w:val="0"/>
        <w:kinsoku/>
        <w:wordWrap/>
        <w:overflowPunct/>
        <w:topLinePunct w:val="0"/>
        <w:bidi w:val="0"/>
        <w:spacing w:line="520" w:lineRule="exact"/>
        <w:rPr>
          <w:rFonts w:hint="eastAsia"/>
          <w:lang w:val="en-US" w:eastAsia="zh-CN"/>
        </w:rPr>
      </w:pPr>
      <w:r>
        <w:rPr>
          <w:rFonts w:hint="eastAsia"/>
          <w:sz w:val="28"/>
          <w:szCs w:val="36"/>
          <w:lang w:val="en-US" w:eastAsia="zh-CN"/>
        </w:rPr>
        <w:t>附件二</w:t>
      </w:r>
    </w:p>
    <w:tbl>
      <w:tblPr>
        <w:tblStyle w:val="7"/>
        <w:tblW w:w="8484" w:type="dxa"/>
        <w:jc w:val="center"/>
        <w:tblLayout w:type="fixed"/>
        <w:tblCellMar>
          <w:top w:w="0" w:type="dxa"/>
          <w:left w:w="108" w:type="dxa"/>
          <w:bottom w:w="0" w:type="dxa"/>
          <w:right w:w="108" w:type="dxa"/>
        </w:tblCellMar>
      </w:tblPr>
      <w:tblGrid>
        <w:gridCol w:w="1054"/>
        <w:gridCol w:w="1802"/>
        <w:gridCol w:w="1267"/>
        <w:gridCol w:w="1221"/>
        <w:gridCol w:w="764"/>
        <w:gridCol w:w="1134"/>
        <w:gridCol w:w="1242"/>
      </w:tblGrid>
      <w:tr w14:paraId="45BA62C9">
        <w:tblPrEx>
          <w:tblCellMar>
            <w:top w:w="0" w:type="dxa"/>
            <w:left w:w="108" w:type="dxa"/>
            <w:bottom w:w="0" w:type="dxa"/>
            <w:right w:w="108" w:type="dxa"/>
          </w:tblCellMar>
        </w:tblPrEx>
        <w:trPr>
          <w:trHeight w:val="465" w:hRule="atLeast"/>
          <w:jc w:val="center"/>
        </w:trPr>
        <w:tc>
          <w:tcPr>
            <w:tcW w:w="8484" w:type="dxa"/>
            <w:gridSpan w:val="7"/>
            <w:tcBorders>
              <w:top w:val="nil"/>
              <w:left w:val="nil"/>
              <w:bottom w:val="nil"/>
              <w:right w:val="nil"/>
            </w:tcBorders>
            <w:shd w:val="clear" w:color="auto" w:fill="auto"/>
            <w:noWrap/>
            <w:vAlign w:val="center"/>
          </w:tcPr>
          <w:p w14:paraId="7926BB22">
            <w:pPr>
              <w:adjustRightInd/>
              <w:snapToGrid/>
              <w:spacing w:after="0"/>
              <w:jc w:val="center"/>
              <w:rPr>
                <w:rFonts w:hint="eastAsia" w:ascii="宋体" w:hAnsi="宋体" w:eastAsia="宋体" w:cs="宋体"/>
                <w:b/>
                <w:bCs/>
                <w:sz w:val="28"/>
                <w:szCs w:val="28"/>
                <w:lang w:eastAsia="zh-CN"/>
              </w:rPr>
            </w:pPr>
            <w:r>
              <w:rPr>
                <w:rFonts w:hint="eastAsia" w:ascii="宋体" w:hAnsi="宋体" w:eastAsia="宋体" w:cs="宋体"/>
                <w:b/>
                <w:bCs/>
                <w:sz w:val="28"/>
                <w:szCs w:val="28"/>
              </w:rPr>
              <w:t>原材料采购单</w:t>
            </w: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样表</w:t>
            </w:r>
            <w:r>
              <w:rPr>
                <w:rFonts w:hint="eastAsia" w:ascii="宋体" w:hAnsi="宋体" w:eastAsia="宋体" w:cs="宋体"/>
                <w:b/>
                <w:bCs/>
                <w:sz w:val="28"/>
                <w:szCs w:val="28"/>
                <w:lang w:eastAsia="zh-CN"/>
              </w:rPr>
              <w:t>）</w:t>
            </w:r>
          </w:p>
        </w:tc>
      </w:tr>
      <w:tr w14:paraId="5F757892">
        <w:tblPrEx>
          <w:tblCellMar>
            <w:top w:w="0" w:type="dxa"/>
            <w:left w:w="108" w:type="dxa"/>
            <w:bottom w:w="0" w:type="dxa"/>
            <w:right w:w="108" w:type="dxa"/>
          </w:tblCellMar>
        </w:tblPrEx>
        <w:trPr>
          <w:trHeight w:val="576" w:hRule="atLeast"/>
          <w:jc w:val="center"/>
        </w:trPr>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5DB003F3">
            <w:pPr>
              <w:adjustRightInd/>
              <w:snapToGrid/>
              <w:spacing w:after="0"/>
              <w:jc w:val="center"/>
              <w:rPr>
                <w:rFonts w:hint="eastAsia" w:ascii="宋体" w:hAnsi="宋体" w:eastAsia="宋体" w:cs="宋体"/>
                <w:lang w:eastAsia="zh-CN"/>
              </w:rPr>
            </w:pPr>
            <w:r>
              <w:rPr>
                <w:rFonts w:hint="eastAsia" w:ascii="宋体" w:hAnsi="宋体" w:cs="宋体"/>
                <w:lang w:val="en-US" w:eastAsia="zh-CN"/>
              </w:rPr>
              <w:t>序号</w:t>
            </w:r>
          </w:p>
        </w:tc>
        <w:tc>
          <w:tcPr>
            <w:tcW w:w="1802" w:type="dxa"/>
            <w:tcBorders>
              <w:top w:val="single" w:color="auto" w:sz="4" w:space="0"/>
              <w:left w:val="nil"/>
              <w:bottom w:val="single" w:color="auto" w:sz="4" w:space="0"/>
              <w:right w:val="single" w:color="auto" w:sz="4" w:space="0"/>
            </w:tcBorders>
            <w:shd w:val="clear" w:color="auto" w:fill="auto"/>
            <w:noWrap/>
            <w:vAlign w:val="center"/>
          </w:tcPr>
          <w:p w14:paraId="29ACDDD0">
            <w:pPr>
              <w:adjustRightInd/>
              <w:snapToGrid/>
              <w:spacing w:after="0"/>
              <w:jc w:val="center"/>
              <w:rPr>
                <w:rFonts w:hint="eastAsia" w:ascii="宋体" w:hAnsi="宋体" w:eastAsia="宋体" w:cs="宋体"/>
                <w:lang w:eastAsia="zh-CN"/>
              </w:rPr>
            </w:pPr>
            <w:r>
              <w:rPr>
                <w:rFonts w:hint="eastAsia" w:ascii="宋体" w:hAnsi="宋体" w:cs="宋体"/>
                <w:lang w:val="en-US" w:eastAsia="zh-CN"/>
              </w:rPr>
              <w:t>名称</w:t>
            </w:r>
          </w:p>
        </w:tc>
        <w:tc>
          <w:tcPr>
            <w:tcW w:w="1267" w:type="dxa"/>
            <w:tcBorders>
              <w:top w:val="single" w:color="auto" w:sz="4" w:space="0"/>
              <w:left w:val="nil"/>
              <w:bottom w:val="single" w:color="auto" w:sz="4" w:space="0"/>
              <w:right w:val="single" w:color="auto" w:sz="4" w:space="0"/>
            </w:tcBorders>
            <w:shd w:val="clear" w:color="auto" w:fill="auto"/>
            <w:noWrap/>
            <w:vAlign w:val="center"/>
          </w:tcPr>
          <w:p w14:paraId="5273E9CD">
            <w:pPr>
              <w:adjustRightInd/>
              <w:snapToGrid/>
              <w:spacing w:after="0"/>
              <w:jc w:val="center"/>
              <w:rPr>
                <w:rFonts w:hint="eastAsia" w:ascii="宋体" w:hAnsi="宋体" w:eastAsia="宋体" w:cs="宋体"/>
                <w:lang w:eastAsia="zh-CN"/>
              </w:rPr>
            </w:pPr>
            <w:r>
              <w:rPr>
                <w:rFonts w:hint="eastAsia" w:ascii="宋体" w:hAnsi="宋体" w:cs="宋体"/>
                <w:lang w:val="en-US" w:eastAsia="zh-CN"/>
              </w:rPr>
              <w:t>规格</w:t>
            </w:r>
          </w:p>
        </w:tc>
        <w:tc>
          <w:tcPr>
            <w:tcW w:w="1221" w:type="dxa"/>
            <w:tcBorders>
              <w:top w:val="single" w:color="auto" w:sz="4" w:space="0"/>
              <w:left w:val="nil"/>
              <w:bottom w:val="single" w:color="auto" w:sz="4" w:space="0"/>
              <w:right w:val="single" w:color="auto" w:sz="4" w:space="0"/>
            </w:tcBorders>
            <w:shd w:val="clear" w:color="auto" w:fill="auto"/>
            <w:noWrap/>
            <w:vAlign w:val="center"/>
          </w:tcPr>
          <w:p w14:paraId="0DDFB024">
            <w:pPr>
              <w:adjustRightInd/>
              <w:snapToGrid/>
              <w:spacing w:after="0"/>
              <w:jc w:val="center"/>
              <w:rPr>
                <w:rFonts w:hint="default" w:ascii="宋体" w:hAnsi="宋体" w:eastAsia="宋体" w:cs="宋体"/>
                <w:lang w:val="en-US" w:eastAsia="zh-CN"/>
              </w:rPr>
            </w:pPr>
            <w:r>
              <w:rPr>
                <w:rFonts w:hint="eastAsia" w:ascii="宋体" w:hAnsi="宋体" w:cs="宋体"/>
                <w:lang w:val="en-US" w:eastAsia="zh-CN"/>
              </w:rPr>
              <w:t>品牌/产地</w:t>
            </w:r>
          </w:p>
        </w:tc>
        <w:tc>
          <w:tcPr>
            <w:tcW w:w="764" w:type="dxa"/>
            <w:tcBorders>
              <w:top w:val="single" w:color="auto" w:sz="4" w:space="0"/>
              <w:left w:val="nil"/>
              <w:bottom w:val="single" w:color="auto" w:sz="4" w:space="0"/>
              <w:right w:val="single" w:color="auto" w:sz="4" w:space="0"/>
            </w:tcBorders>
            <w:shd w:val="clear" w:color="auto" w:fill="auto"/>
            <w:noWrap/>
            <w:vAlign w:val="center"/>
          </w:tcPr>
          <w:p w14:paraId="2BD99253">
            <w:pPr>
              <w:adjustRightInd/>
              <w:snapToGrid/>
              <w:spacing w:after="0"/>
              <w:jc w:val="center"/>
              <w:rPr>
                <w:rFonts w:hint="eastAsia" w:ascii="宋体" w:hAnsi="宋体" w:eastAsia="宋体" w:cs="宋体"/>
                <w:lang w:eastAsia="zh-CN"/>
              </w:rPr>
            </w:pPr>
            <w:r>
              <w:rPr>
                <w:rFonts w:hint="eastAsia" w:ascii="宋体" w:hAnsi="宋体" w:cs="宋体"/>
                <w:lang w:val="en-US" w:eastAsia="zh-CN"/>
              </w:rPr>
              <w:t>单位</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33AEF2DA">
            <w:pPr>
              <w:adjustRightInd/>
              <w:snapToGrid/>
              <w:spacing w:after="0"/>
              <w:jc w:val="center"/>
              <w:rPr>
                <w:rFonts w:hint="eastAsia" w:ascii="宋体" w:hAnsi="宋体" w:eastAsia="宋体" w:cs="宋体"/>
                <w:lang w:eastAsia="zh-CN"/>
              </w:rPr>
            </w:pPr>
            <w:r>
              <w:rPr>
                <w:rFonts w:hint="eastAsia" w:ascii="宋体" w:hAnsi="宋体" w:cs="宋体"/>
                <w:lang w:val="en-US" w:eastAsia="zh-CN"/>
              </w:rPr>
              <w:t>数量</w:t>
            </w:r>
          </w:p>
        </w:tc>
        <w:tc>
          <w:tcPr>
            <w:tcW w:w="1242" w:type="dxa"/>
            <w:tcBorders>
              <w:top w:val="single" w:color="auto" w:sz="4" w:space="0"/>
              <w:left w:val="nil"/>
              <w:bottom w:val="single" w:color="auto" w:sz="4" w:space="0"/>
              <w:right w:val="single" w:color="auto" w:sz="4" w:space="0"/>
            </w:tcBorders>
            <w:shd w:val="clear" w:color="auto" w:fill="auto"/>
            <w:noWrap/>
            <w:vAlign w:val="center"/>
          </w:tcPr>
          <w:p w14:paraId="5058E4BF">
            <w:pPr>
              <w:adjustRightInd/>
              <w:snapToGrid/>
              <w:spacing w:after="0"/>
              <w:jc w:val="center"/>
              <w:rPr>
                <w:rFonts w:hint="eastAsia" w:ascii="宋体" w:hAnsi="宋体" w:eastAsia="宋体" w:cs="宋体"/>
                <w:lang w:eastAsia="zh-CN"/>
              </w:rPr>
            </w:pPr>
            <w:r>
              <w:rPr>
                <w:rFonts w:hint="eastAsia" w:ascii="宋体" w:hAnsi="宋体" w:cs="宋体"/>
                <w:lang w:val="en-US" w:eastAsia="zh-CN"/>
              </w:rPr>
              <w:t>备注</w:t>
            </w:r>
          </w:p>
        </w:tc>
      </w:tr>
      <w:tr w14:paraId="69824E0C">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036B3733">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42027495">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0FCB5972">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797373D9">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3DE566F2">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1D53B07">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7DE49189">
            <w:pPr>
              <w:adjustRightInd/>
              <w:snapToGrid/>
              <w:spacing w:after="0"/>
              <w:jc w:val="center"/>
              <w:rPr>
                <w:rFonts w:ascii="宋体" w:hAnsi="宋体" w:eastAsia="宋体" w:cs="宋体"/>
                <w:sz w:val="24"/>
                <w:szCs w:val="24"/>
              </w:rPr>
            </w:pPr>
          </w:p>
        </w:tc>
      </w:tr>
      <w:tr w14:paraId="627B8CD2">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76DB6B2F">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45B878B9">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41BD7061">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0B266C9D">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617A17F2">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3FA31BC">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46E8B2CA">
            <w:pPr>
              <w:adjustRightInd/>
              <w:snapToGrid/>
              <w:spacing w:after="0"/>
              <w:jc w:val="center"/>
              <w:rPr>
                <w:rFonts w:ascii="宋体" w:hAnsi="宋体" w:eastAsia="宋体" w:cs="宋体"/>
                <w:sz w:val="24"/>
                <w:szCs w:val="24"/>
              </w:rPr>
            </w:pPr>
          </w:p>
        </w:tc>
      </w:tr>
      <w:tr w14:paraId="009CCA0A">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473361B2">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1EA68958">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34714528">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38CBF94F">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3A23042A">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0DCF72F9">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40C79CE4">
            <w:pPr>
              <w:adjustRightInd/>
              <w:snapToGrid/>
              <w:spacing w:after="0"/>
              <w:jc w:val="center"/>
              <w:rPr>
                <w:rFonts w:ascii="宋体" w:hAnsi="宋体" w:eastAsia="宋体" w:cs="宋体"/>
                <w:sz w:val="24"/>
                <w:szCs w:val="24"/>
              </w:rPr>
            </w:pPr>
          </w:p>
        </w:tc>
      </w:tr>
      <w:tr w14:paraId="6196D7D0">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00DDA742">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3C1019F8">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480DE4B1">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33DA9BF7">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0201B666">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F6AA4A2">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D38B227">
            <w:pPr>
              <w:adjustRightInd/>
              <w:snapToGrid/>
              <w:spacing w:after="0"/>
              <w:jc w:val="center"/>
              <w:rPr>
                <w:rFonts w:ascii="宋体" w:hAnsi="宋体" w:eastAsia="宋体" w:cs="宋体"/>
                <w:sz w:val="24"/>
                <w:szCs w:val="24"/>
              </w:rPr>
            </w:pPr>
          </w:p>
        </w:tc>
      </w:tr>
      <w:tr w14:paraId="29EDA08C">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5D08E0BD">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0CCB2FB4">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2213143">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0E88C4B4">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09AC6349">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0822385C">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53F24943">
            <w:pPr>
              <w:adjustRightInd/>
              <w:snapToGrid/>
              <w:spacing w:after="0"/>
              <w:jc w:val="center"/>
              <w:rPr>
                <w:rFonts w:ascii="宋体" w:hAnsi="宋体" w:eastAsia="宋体" w:cs="宋体"/>
                <w:sz w:val="24"/>
                <w:szCs w:val="24"/>
              </w:rPr>
            </w:pPr>
          </w:p>
        </w:tc>
      </w:tr>
      <w:tr w14:paraId="107ADC1C">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7199EE22">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0EDB5542">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4B3E7310">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70C65D06">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34F3F7C5">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DB046B4">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31899DBC">
            <w:pPr>
              <w:adjustRightInd/>
              <w:snapToGrid/>
              <w:spacing w:after="0"/>
              <w:jc w:val="center"/>
              <w:rPr>
                <w:rFonts w:ascii="宋体" w:hAnsi="宋体" w:eastAsia="宋体" w:cs="宋体"/>
                <w:sz w:val="24"/>
                <w:szCs w:val="24"/>
              </w:rPr>
            </w:pPr>
          </w:p>
        </w:tc>
      </w:tr>
      <w:tr w14:paraId="2626B007">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4EF5DEE9">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4F8461DD">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3D5C245">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015444E2">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7D0E8028">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E469FAC">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6061B341">
            <w:pPr>
              <w:adjustRightInd/>
              <w:snapToGrid/>
              <w:spacing w:after="0"/>
              <w:jc w:val="center"/>
              <w:rPr>
                <w:rFonts w:ascii="宋体" w:hAnsi="宋体" w:eastAsia="宋体" w:cs="宋体"/>
                <w:sz w:val="24"/>
                <w:szCs w:val="24"/>
              </w:rPr>
            </w:pPr>
          </w:p>
        </w:tc>
      </w:tr>
      <w:tr w14:paraId="0C3EC708">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2D43A98B">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6D5EA33A">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308C747F">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3AAD5935">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27D152DF">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54374414">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7A139739">
            <w:pPr>
              <w:adjustRightInd/>
              <w:snapToGrid/>
              <w:spacing w:after="0"/>
              <w:jc w:val="center"/>
              <w:rPr>
                <w:rFonts w:ascii="宋体" w:hAnsi="宋体" w:eastAsia="宋体" w:cs="宋体"/>
                <w:sz w:val="24"/>
                <w:szCs w:val="24"/>
              </w:rPr>
            </w:pPr>
          </w:p>
        </w:tc>
      </w:tr>
      <w:tr w14:paraId="0CDA5653">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253B5474">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15E0B896">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2EA2B8C7">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40A73429">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4EBA3434">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640B227D">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3547B739">
            <w:pPr>
              <w:adjustRightInd/>
              <w:snapToGrid/>
              <w:spacing w:after="0"/>
              <w:jc w:val="center"/>
              <w:rPr>
                <w:rFonts w:ascii="宋体" w:hAnsi="宋体" w:eastAsia="宋体" w:cs="宋体"/>
                <w:sz w:val="24"/>
                <w:szCs w:val="24"/>
              </w:rPr>
            </w:pPr>
          </w:p>
        </w:tc>
      </w:tr>
      <w:tr w14:paraId="69D1171F">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77171D3E">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0BBE72F2">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2AC2B2DC">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293C2CD5">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7AA17C83">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0F8DBD2B">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6E6E1F4A">
            <w:pPr>
              <w:adjustRightInd/>
              <w:snapToGrid/>
              <w:spacing w:after="0"/>
              <w:jc w:val="center"/>
              <w:rPr>
                <w:rFonts w:ascii="宋体" w:hAnsi="宋体" w:eastAsia="宋体" w:cs="宋体"/>
                <w:sz w:val="24"/>
                <w:szCs w:val="24"/>
              </w:rPr>
            </w:pPr>
          </w:p>
        </w:tc>
      </w:tr>
      <w:tr w14:paraId="3358462D">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738C2DA6">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48A6E737">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62C9E771">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3DF55DED">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13FD60A0">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094F699E">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6249647F">
            <w:pPr>
              <w:adjustRightInd/>
              <w:snapToGrid/>
              <w:spacing w:after="0"/>
              <w:jc w:val="center"/>
              <w:rPr>
                <w:rFonts w:ascii="宋体" w:hAnsi="宋体" w:eastAsia="宋体" w:cs="宋体"/>
                <w:sz w:val="24"/>
                <w:szCs w:val="24"/>
              </w:rPr>
            </w:pPr>
          </w:p>
        </w:tc>
      </w:tr>
      <w:tr w14:paraId="022912D4">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0A471DAC">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13F274FF">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36F92650">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4C8AC7D9">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42DAC312">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53352E8A">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14462414">
            <w:pPr>
              <w:adjustRightInd/>
              <w:snapToGrid/>
              <w:spacing w:after="0"/>
              <w:jc w:val="center"/>
              <w:rPr>
                <w:rFonts w:ascii="宋体" w:hAnsi="宋体" w:eastAsia="宋体" w:cs="宋体"/>
                <w:sz w:val="24"/>
                <w:szCs w:val="24"/>
              </w:rPr>
            </w:pPr>
          </w:p>
        </w:tc>
      </w:tr>
      <w:tr w14:paraId="6BF1A6E8">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1F1397AA">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73852046">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2E2DB657">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0F2A6605">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51E5E018">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2251CAE">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7C3F2D3A">
            <w:pPr>
              <w:adjustRightInd/>
              <w:snapToGrid/>
              <w:spacing w:after="0"/>
              <w:jc w:val="center"/>
              <w:rPr>
                <w:rFonts w:ascii="宋体" w:hAnsi="宋体" w:eastAsia="宋体" w:cs="宋体"/>
                <w:sz w:val="24"/>
                <w:szCs w:val="24"/>
              </w:rPr>
            </w:pPr>
          </w:p>
        </w:tc>
      </w:tr>
      <w:tr w14:paraId="0A57C7CF">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496BABE6">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34E45E9D">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32AB3814">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4205FEC7">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7460AFF5">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6D622B6D">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2FFF5FA">
            <w:pPr>
              <w:adjustRightInd/>
              <w:snapToGrid/>
              <w:spacing w:after="0"/>
              <w:jc w:val="center"/>
              <w:rPr>
                <w:rFonts w:ascii="宋体" w:hAnsi="宋体" w:eastAsia="宋体" w:cs="宋体"/>
                <w:sz w:val="24"/>
                <w:szCs w:val="24"/>
              </w:rPr>
            </w:pPr>
          </w:p>
        </w:tc>
      </w:tr>
      <w:tr w14:paraId="4D834AAA">
        <w:tblPrEx>
          <w:tblCellMar>
            <w:top w:w="0" w:type="dxa"/>
            <w:left w:w="108" w:type="dxa"/>
            <w:bottom w:w="0" w:type="dxa"/>
            <w:right w:w="108" w:type="dxa"/>
          </w:tblCellMar>
        </w:tblPrEx>
        <w:trPr>
          <w:trHeight w:val="333"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02916F2D">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04BC6675">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125931DC">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5FFFEE73">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4C852B15">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08E2B5B6">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4E193671">
            <w:pPr>
              <w:adjustRightInd/>
              <w:snapToGrid/>
              <w:spacing w:after="0"/>
              <w:jc w:val="center"/>
              <w:rPr>
                <w:rFonts w:ascii="宋体" w:hAnsi="宋体" w:eastAsia="宋体" w:cs="宋体"/>
                <w:sz w:val="24"/>
                <w:szCs w:val="24"/>
              </w:rPr>
            </w:pPr>
          </w:p>
        </w:tc>
      </w:tr>
      <w:tr w14:paraId="6872FFE9">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5B239764">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59E35B13">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629D37DD">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2B3FD4C6">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644193A2">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0326830">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33DD23D3">
            <w:pPr>
              <w:adjustRightInd/>
              <w:snapToGrid/>
              <w:spacing w:after="0"/>
              <w:jc w:val="center"/>
              <w:rPr>
                <w:rFonts w:ascii="宋体" w:hAnsi="宋体" w:eastAsia="宋体" w:cs="宋体"/>
                <w:sz w:val="24"/>
                <w:szCs w:val="24"/>
              </w:rPr>
            </w:pPr>
          </w:p>
        </w:tc>
      </w:tr>
      <w:tr w14:paraId="6B56D012">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6965D818">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0E10A83E">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1B6C87FA">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7DE3CA42">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564F63CB">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D323F94">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2A0EAD8D">
            <w:pPr>
              <w:adjustRightInd/>
              <w:snapToGrid/>
              <w:spacing w:after="0"/>
              <w:jc w:val="center"/>
              <w:rPr>
                <w:rFonts w:ascii="宋体" w:hAnsi="宋体" w:eastAsia="宋体" w:cs="宋体"/>
                <w:sz w:val="24"/>
                <w:szCs w:val="24"/>
              </w:rPr>
            </w:pPr>
          </w:p>
        </w:tc>
      </w:tr>
      <w:tr w14:paraId="6655592B">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3377CE94">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10EE2316">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6E4139A9">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7BD3FA53">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65CA5400">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47289B01">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23D04C12">
            <w:pPr>
              <w:adjustRightInd/>
              <w:snapToGrid/>
              <w:spacing w:after="0"/>
              <w:jc w:val="center"/>
              <w:rPr>
                <w:rFonts w:ascii="宋体" w:hAnsi="宋体" w:eastAsia="宋体" w:cs="宋体"/>
                <w:sz w:val="24"/>
                <w:szCs w:val="24"/>
              </w:rPr>
            </w:pPr>
          </w:p>
        </w:tc>
      </w:tr>
      <w:tr w14:paraId="325D7BF9">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745084A9">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6DE52E7D">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1A44589F">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23F5B62D">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00F1889D">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C751A57">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422152B5">
            <w:pPr>
              <w:adjustRightInd/>
              <w:snapToGrid/>
              <w:spacing w:after="0"/>
              <w:jc w:val="center"/>
              <w:rPr>
                <w:rFonts w:ascii="宋体" w:hAnsi="宋体" w:eastAsia="宋体" w:cs="宋体"/>
                <w:sz w:val="24"/>
                <w:szCs w:val="24"/>
              </w:rPr>
            </w:pPr>
          </w:p>
        </w:tc>
      </w:tr>
      <w:tr w14:paraId="7CF69388">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60DB6F23">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50FB11DA">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C80F26E">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4134EE13">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46BA96C2">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2FC14068">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35FCEF38">
            <w:pPr>
              <w:adjustRightInd/>
              <w:snapToGrid/>
              <w:spacing w:after="0"/>
              <w:jc w:val="center"/>
              <w:rPr>
                <w:rFonts w:ascii="宋体" w:hAnsi="宋体" w:eastAsia="宋体" w:cs="宋体"/>
                <w:sz w:val="24"/>
                <w:szCs w:val="24"/>
              </w:rPr>
            </w:pPr>
          </w:p>
        </w:tc>
      </w:tr>
      <w:tr w14:paraId="5DD20146">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4E4EBFC4">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225E392F">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E1B423D">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6F9D41B1">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5CF52A86">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DDD6A56">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5AC9040A">
            <w:pPr>
              <w:adjustRightInd/>
              <w:snapToGrid/>
              <w:spacing w:after="0"/>
              <w:jc w:val="center"/>
              <w:rPr>
                <w:rFonts w:ascii="宋体" w:hAnsi="宋体" w:eastAsia="宋体" w:cs="宋体"/>
                <w:sz w:val="24"/>
                <w:szCs w:val="24"/>
              </w:rPr>
            </w:pPr>
          </w:p>
        </w:tc>
      </w:tr>
      <w:tr w14:paraId="1C3329C6">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69F8773A">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2976365D">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23581B2D">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588F600E">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26D9F274">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F25C91C">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07EB990">
            <w:pPr>
              <w:adjustRightInd/>
              <w:snapToGrid/>
              <w:spacing w:after="0"/>
              <w:jc w:val="center"/>
              <w:rPr>
                <w:rFonts w:ascii="宋体" w:hAnsi="宋体" w:eastAsia="宋体" w:cs="宋体"/>
                <w:sz w:val="24"/>
                <w:szCs w:val="24"/>
              </w:rPr>
            </w:pPr>
          </w:p>
        </w:tc>
      </w:tr>
      <w:tr w14:paraId="254A8B89">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3FE73EE1">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678B683F">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F4C9102">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3C126B4F">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16363554">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6203C11">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A28BE6D">
            <w:pPr>
              <w:adjustRightInd/>
              <w:snapToGrid/>
              <w:spacing w:after="0"/>
              <w:jc w:val="center"/>
              <w:rPr>
                <w:rFonts w:ascii="宋体" w:hAnsi="宋体" w:eastAsia="宋体" w:cs="宋体"/>
                <w:sz w:val="24"/>
                <w:szCs w:val="24"/>
              </w:rPr>
            </w:pPr>
          </w:p>
        </w:tc>
      </w:tr>
      <w:tr w14:paraId="1B576AC5">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068B8D84">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5715D2F5">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3E032C25">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31C8AA81">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51A966E0">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43E522E">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4171D71A">
            <w:pPr>
              <w:adjustRightInd/>
              <w:snapToGrid/>
              <w:spacing w:after="0"/>
              <w:jc w:val="center"/>
              <w:rPr>
                <w:rFonts w:ascii="宋体" w:hAnsi="宋体" w:eastAsia="宋体" w:cs="宋体"/>
                <w:sz w:val="24"/>
                <w:szCs w:val="24"/>
              </w:rPr>
            </w:pPr>
          </w:p>
        </w:tc>
      </w:tr>
      <w:tr w14:paraId="220F9E07">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65FD148F">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2CDB550A">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2782154A">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5D272615">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4D6AB8B7">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5E283456">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750399B">
            <w:pPr>
              <w:adjustRightInd/>
              <w:snapToGrid/>
              <w:spacing w:after="0"/>
              <w:jc w:val="center"/>
              <w:rPr>
                <w:rFonts w:ascii="宋体" w:hAnsi="宋体" w:eastAsia="宋体" w:cs="宋体"/>
                <w:sz w:val="24"/>
                <w:szCs w:val="24"/>
              </w:rPr>
            </w:pPr>
          </w:p>
        </w:tc>
      </w:tr>
      <w:tr w14:paraId="06CAFB3E">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28C7C047">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63E2EA52">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2C18DE51">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1FED5A48">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2A083AB2">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E9F257F">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2D0557AD">
            <w:pPr>
              <w:adjustRightInd/>
              <w:snapToGrid/>
              <w:spacing w:after="0"/>
              <w:jc w:val="center"/>
              <w:rPr>
                <w:rFonts w:ascii="宋体" w:hAnsi="宋体" w:eastAsia="宋体" w:cs="宋体"/>
                <w:sz w:val="24"/>
                <w:szCs w:val="24"/>
              </w:rPr>
            </w:pPr>
          </w:p>
        </w:tc>
      </w:tr>
      <w:tr w14:paraId="30AF5C78">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1783D728">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39D23588">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45600701">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6BB4BAD4">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4812EEDA">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40F211E6">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4FD6187F">
            <w:pPr>
              <w:adjustRightInd/>
              <w:snapToGrid/>
              <w:spacing w:after="0"/>
              <w:jc w:val="center"/>
              <w:rPr>
                <w:rFonts w:ascii="宋体" w:hAnsi="宋体" w:eastAsia="宋体" w:cs="宋体"/>
                <w:sz w:val="24"/>
                <w:szCs w:val="24"/>
              </w:rPr>
            </w:pPr>
          </w:p>
        </w:tc>
      </w:tr>
      <w:tr w14:paraId="2D95488D">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22F63408">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79DA4BE3">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1F2E15BE">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618FBB08">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0120FC39">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56754FBE">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44B08C4">
            <w:pPr>
              <w:adjustRightInd/>
              <w:snapToGrid/>
              <w:spacing w:after="0"/>
              <w:jc w:val="center"/>
              <w:rPr>
                <w:rFonts w:ascii="宋体" w:hAnsi="宋体" w:eastAsia="宋体" w:cs="宋体"/>
                <w:sz w:val="24"/>
                <w:szCs w:val="24"/>
              </w:rPr>
            </w:pPr>
          </w:p>
        </w:tc>
      </w:tr>
      <w:tr w14:paraId="4A115E83">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421D80CF">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51ACA1DF">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E43C277">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469194EA">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09A7AE9F">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2251E744">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7F28E5F3">
            <w:pPr>
              <w:adjustRightInd/>
              <w:snapToGrid/>
              <w:spacing w:after="0"/>
              <w:jc w:val="center"/>
              <w:rPr>
                <w:rFonts w:ascii="宋体" w:hAnsi="宋体" w:eastAsia="宋体" w:cs="宋体"/>
                <w:sz w:val="24"/>
                <w:szCs w:val="24"/>
              </w:rPr>
            </w:pPr>
          </w:p>
        </w:tc>
      </w:tr>
      <w:tr w14:paraId="5C04F649">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743D6F59">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107F8569">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6DFE059">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0D39A1AF">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0C9018C5">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5B1D3654">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568B0CB8">
            <w:pPr>
              <w:adjustRightInd/>
              <w:snapToGrid/>
              <w:spacing w:after="0"/>
              <w:jc w:val="center"/>
              <w:rPr>
                <w:rFonts w:ascii="宋体" w:hAnsi="宋体" w:eastAsia="宋体" w:cs="宋体"/>
                <w:sz w:val="24"/>
                <w:szCs w:val="24"/>
              </w:rPr>
            </w:pPr>
          </w:p>
        </w:tc>
      </w:tr>
      <w:tr w14:paraId="564588C2">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6CAEAEC2">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6494E482">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34CD729D">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75FA7E52">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54CA0BB7">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43FF0E7D">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D542F47">
            <w:pPr>
              <w:adjustRightInd/>
              <w:snapToGrid/>
              <w:spacing w:after="0"/>
              <w:jc w:val="center"/>
              <w:rPr>
                <w:rFonts w:ascii="宋体" w:hAnsi="宋体" w:eastAsia="宋体" w:cs="宋体"/>
                <w:sz w:val="24"/>
                <w:szCs w:val="24"/>
              </w:rPr>
            </w:pPr>
          </w:p>
        </w:tc>
      </w:tr>
      <w:tr w14:paraId="0FEEF232">
        <w:tblPrEx>
          <w:tblCellMar>
            <w:top w:w="0" w:type="dxa"/>
            <w:left w:w="108" w:type="dxa"/>
            <w:bottom w:w="0" w:type="dxa"/>
            <w:right w:w="108" w:type="dxa"/>
          </w:tblCellMar>
        </w:tblPrEx>
        <w:trPr>
          <w:trHeight w:val="420" w:hRule="atLeast"/>
          <w:jc w:val="center"/>
        </w:trPr>
        <w:tc>
          <w:tcPr>
            <w:tcW w:w="8484" w:type="dxa"/>
            <w:gridSpan w:val="7"/>
            <w:tcBorders>
              <w:top w:val="nil"/>
              <w:left w:val="nil"/>
              <w:bottom w:val="nil"/>
              <w:right w:val="nil"/>
            </w:tcBorders>
            <w:shd w:val="clear" w:color="auto" w:fill="auto"/>
            <w:noWrap/>
            <w:vAlign w:val="bottom"/>
          </w:tcPr>
          <w:p w14:paraId="5E3EA60D">
            <w:pPr>
              <w:adjustRightInd/>
              <w:snapToGrid/>
              <w:spacing w:after="0"/>
              <w:rPr>
                <w:rFonts w:ascii="宋体" w:hAnsi="宋体" w:eastAsia="宋体" w:cs="宋体"/>
                <w:sz w:val="24"/>
                <w:szCs w:val="24"/>
              </w:rPr>
            </w:pPr>
            <w:r>
              <w:rPr>
                <w:rFonts w:hint="eastAsia" w:ascii="宋体" w:hAnsi="宋体" w:eastAsia="宋体" w:cs="宋体"/>
                <w:sz w:val="24"/>
                <w:szCs w:val="24"/>
              </w:rPr>
              <w:t>批准：                     审核：                     编制：</w:t>
            </w:r>
          </w:p>
        </w:tc>
      </w:tr>
      <w:tr w14:paraId="4E0CAF32">
        <w:tblPrEx>
          <w:tblCellMar>
            <w:top w:w="0" w:type="dxa"/>
            <w:left w:w="108" w:type="dxa"/>
            <w:bottom w:w="0" w:type="dxa"/>
            <w:right w:w="108" w:type="dxa"/>
          </w:tblCellMar>
        </w:tblPrEx>
        <w:trPr>
          <w:trHeight w:val="480" w:hRule="atLeast"/>
          <w:jc w:val="center"/>
        </w:trPr>
        <w:tc>
          <w:tcPr>
            <w:tcW w:w="8484" w:type="dxa"/>
            <w:gridSpan w:val="7"/>
            <w:tcBorders>
              <w:top w:val="nil"/>
              <w:left w:val="nil"/>
              <w:bottom w:val="nil"/>
              <w:right w:val="nil"/>
            </w:tcBorders>
            <w:shd w:val="clear" w:color="auto" w:fill="auto"/>
            <w:noWrap/>
            <w:vAlign w:val="center"/>
          </w:tcPr>
          <w:p w14:paraId="71268AD5">
            <w:pPr>
              <w:adjustRightInd/>
              <w:snapToGrid/>
              <w:spacing w:after="0"/>
              <w:rPr>
                <w:rFonts w:ascii="宋体" w:hAnsi="宋体" w:eastAsia="宋体" w:cs="宋体"/>
                <w:sz w:val="24"/>
                <w:szCs w:val="24"/>
              </w:rPr>
            </w:pPr>
            <w:r>
              <w:rPr>
                <w:rFonts w:hint="eastAsia" w:ascii="宋体" w:hAnsi="宋体" w:eastAsia="宋体" w:cs="宋体"/>
                <w:sz w:val="24"/>
                <w:szCs w:val="24"/>
              </w:rPr>
              <w:t>日期：                     日期：                     日期：</w:t>
            </w:r>
          </w:p>
        </w:tc>
      </w:tr>
    </w:tbl>
    <w:p w14:paraId="463DF76E">
      <w:pPr>
        <w:pStyle w:val="6"/>
        <w:keepNext w:val="0"/>
        <w:keepLines w:val="0"/>
        <w:pageBreakBefore w:val="0"/>
        <w:kinsoku/>
        <w:wordWrap/>
        <w:overflowPunct/>
        <w:topLinePunct w:val="0"/>
        <w:bidi w:val="0"/>
        <w:spacing w:line="520" w:lineRule="exact"/>
        <w:rPr>
          <w:rFonts w:hint="default"/>
          <w:lang w:val="en-US" w:eastAsia="zh-CN"/>
        </w:rPr>
      </w:pPr>
    </w:p>
    <w:p w14:paraId="79B1B50E">
      <w:pPr>
        <w:pStyle w:val="2"/>
        <w:rPr>
          <w:rFonts w:hint="default"/>
          <w:lang w:val="en-US" w:eastAsia="zh-CN"/>
        </w:rPr>
      </w:pPr>
    </w:p>
    <w:sectPr>
      <w:footerReference r:id="rId3" w:type="default"/>
      <w:pgSz w:w="11906" w:h="16838"/>
      <w:pgMar w:top="1157" w:right="1293" w:bottom="1157" w:left="1293"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4535F">
    <w:pPr>
      <w:pStyle w:val="4"/>
      <w:tabs>
        <w:tab w:val="clear" w:pos="4153"/>
      </w:tabs>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2OTFkY2RmN2Q2NjQyNzc5MWYyYTE3Njg3YWNlYzkifQ=="/>
  </w:docVars>
  <w:rsids>
    <w:rsidRoot w:val="66FF6AFB"/>
    <w:rsid w:val="01A92A2B"/>
    <w:rsid w:val="02C71D36"/>
    <w:rsid w:val="036B67AD"/>
    <w:rsid w:val="057F0C53"/>
    <w:rsid w:val="06767E0F"/>
    <w:rsid w:val="0881001F"/>
    <w:rsid w:val="0A014F1F"/>
    <w:rsid w:val="0D1F4F6C"/>
    <w:rsid w:val="0FFD5443"/>
    <w:rsid w:val="13EA041E"/>
    <w:rsid w:val="15B35D6C"/>
    <w:rsid w:val="15F34109"/>
    <w:rsid w:val="16047E7C"/>
    <w:rsid w:val="1B546365"/>
    <w:rsid w:val="1D123808"/>
    <w:rsid w:val="1D1E1F18"/>
    <w:rsid w:val="1DAF7587"/>
    <w:rsid w:val="1E9367F6"/>
    <w:rsid w:val="1F167F48"/>
    <w:rsid w:val="1F35200F"/>
    <w:rsid w:val="20B5576B"/>
    <w:rsid w:val="21527654"/>
    <w:rsid w:val="21984943"/>
    <w:rsid w:val="21F350A4"/>
    <w:rsid w:val="226E688C"/>
    <w:rsid w:val="22EF22CE"/>
    <w:rsid w:val="22F97460"/>
    <w:rsid w:val="254D5A88"/>
    <w:rsid w:val="264F6850"/>
    <w:rsid w:val="27BF5C9A"/>
    <w:rsid w:val="28C53947"/>
    <w:rsid w:val="2A095F21"/>
    <w:rsid w:val="2B8E71E6"/>
    <w:rsid w:val="2C9734A0"/>
    <w:rsid w:val="336350D7"/>
    <w:rsid w:val="353A0606"/>
    <w:rsid w:val="357059BA"/>
    <w:rsid w:val="37432BA4"/>
    <w:rsid w:val="37703DC9"/>
    <w:rsid w:val="38BF793C"/>
    <w:rsid w:val="38FB31BC"/>
    <w:rsid w:val="3A203097"/>
    <w:rsid w:val="3B49542C"/>
    <w:rsid w:val="3C7E11DE"/>
    <w:rsid w:val="3E215F40"/>
    <w:rsid w:val="3F97045D"/>
    <w:rsid w:val="40BD1A08"/>
    <w:rsid w:val="4106634D"/>
    <w:rsid w:val="410E7255"/>
    <w:rsid w:val="42BF194B"/>
    <w:rsid w:val="44700AB5"/>
    <w:rsid w:val="45AA6356"/>
    <w:rsid w:val="485C0893"/>
    <w:rsid w:val="48BF3D66"/>
    <w:rsid w:val="49C74283"/>
    <w:rsid w:val="4D7F121A"/>
    <w:rsid w:val="4F393647"/>
    <w:rsid w:val="530426A3"/>
    <w:rsid w:val="55BC5E16"/>
    <w:rsid w:val="57412767"/>
    <w:rsid w:val="58074296"/>
    <w:rsid w:val="58827E2F"/>
    <w:rsid w:val="5A6F48B7"/>
    <w:rsid w:val="5C48386C"/>
    <w:rsid w:val="5C865B8D"/>
    <w:rsid w:val="5E6220CD"/>
    <w:rsid w:val="60491C09"/>
    <w:rsid w:val="60BB6CD3"/>
    <w:rsid w:val="66C74128"/>
    <w:rsid w:val="66FF6AFB"/>
    <w:rsid w:val="67956DAD"/>
    <w:rsid w:val="67D6035F"/>
    <w:rsid w:val="6A0067F8"/>
    <w:rsid w:val="6C52010F"/>
    <w:rsid w:val="6DAC54FE"/>
    <w:rsid w:val="6E364011"/>
    <w:rsid w:val="6E5727B7"/>
    <w:rsid w:val="70F901B1"/>
    <w:rsid w:val="73F50BC9"/>
    <w:rsid w:val="74006DAB"/>
    <w:rsid w:val="74735573"/>
    <w:rsid w:val="75AD719E"/>
    <w:rsid w:val="76E14CAF"/>
    <w:rsid w:val="78B522A3"/>
    <w:rsid w:val="7A3E1CBA"/>
    <w:rsid w:val="7A832E18"/>
    <w:rsid w:val="7B846C6C"/>
    <w:rsid w:val="7E501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0"/>
    </w:rPr>
  </w:style>
  <w:style w:type="paragraph" w:styleId="3">
    <w:name w:val="Body Text"/>
    <w:basedOn w:val="1"/>
    <w:next w:val="1"/>
    <w:autoRedefine/>
    <w:qFormat/>
    <w:uiPriority w:val="0"/>
    <w:pPr>
      <w:spacing w:after="120"/>
    </w:pPr>
    <w:rPr>
      <w:rFonts w:ascii="Times New Roman" w:hAnsi="Times New Roman" w:eastAsia="宋体" w:cs="Times New Roman"/>
    </w:rPr>
  </w:style>
  <w:style w:type="paragraph" w:styleId="4">
    <w:name w:val="footer"/>
    <w:basedOn w:val="1"/>
    <w:autoRedefine/>
    <w:qFormat/>
    <w:uiPriority w:val="0"/>
    <w:pPr>
      <w:tabs>
        <w:tab w:val="center" w:pos="4153"/>
        <w:tab w:val="right" w:pos="8306"/>
      </w:tabs>
      <w:snapToGrid w:val="0"/>
      <w:jc w:val="left"/>
    </w:pPr>
    <w:rPr>
      <w:sz w:val="18"/>
      <w:szCs w:val="20"/>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autoRedefine/>
    <w:qFormat/>
    <w:uiPriority w:val="0"/>
    <w:pPr>
      <w:spacing w:after="120" w:afterLines="0" w:afterAutospacing="0" w:line="480" w:lineRule="auto"/>
    </w:p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5772</Words>
  <Characters>5864</Characters>
  <Lines>0</Lines>
  <Paragraphs>0</Paragraphs>
  <TotalTime>3</TotalTime>
  <ScaleCrop>false</ScaleCrop>
  <LinksUpToDate>false</LinksUpToDate>
  <CharactersWithSpaces>6151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2021-03-30T08:50:00Z</dcterms:created>
  <dc:creator>MS</dc:creator>
  <cp:lastModifiedBy>vivie</cp:lastModifiedBy>
  <cp:lastPrinted>2023-02-22T03:14:00Z</cp:lastPrinted>
  <dcterms:modified xsi:type="dcterms:W3CDTF">2026-01-04T02:12:33Z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436F09724348421B97803F95E39FE798_13</vt:lpwstr>
  </property>
  <property fmtid="{D5CDD505-2E9C-101B-9397-08002B2CF9AE}" pid="4" name="KSOTemplateDocerSaveRecord">
    <vt:lpwstr>eyJoZGlkIjoiZmE1NDk1Nzc4ODgwMzA2NTdlMzMyYWJiMTdlNDg5YTciLCJ1c2VySWQiOiI5MzI2NzcyMjUifQ==</vt:lpwstr>
  </property>
</Properties>
</file>