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版本号：SXZM-JT-202500320260104001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临潼区“水暖炕”改造项目(四次)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SXZM-JT-2025003</w:t>
      </w:r>
      <w:r>
        <w:br/>
      </w:r>
      <w:r>
        <w:br/>
      </w:r>
      <w:r>
        <w:br/>
      </w:r>
    </w:p>
    <w:p>
      <w:pPr>
        <w:pStyle w:val="null3"/>
        <w:jc w:val="center"/>
        <w:outlineLvl w:val="2"/>
      </w:pPr>
      <w:r>
        <w:rPr>
          <w:rFonts w:ascii="仿宋_GB2312" w:hAnsi="仿宋_GB2312" w:cs="仿宋_GB2312" w:eastAsia="仿宋_GB2312"/>
          <w:sz w:val="28"/>
          <w:b/>
        </w:rPr>
        <w:t>西安市生态环境局临潼分局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西安市生态环境局临潼分局</w:t>
      </w:r>
      <w:r>
        <w:rPr>
          <w:rFonts w:ascii="仿宋_GB2312" w:hAnsi="仿宋_GB2312" w:cs="仿宋_GB2312" w:eastAsia="仿宋_GB2312"/>
        </w:rPr>
        <w:t>委托，拟对</w:t>
      </w:r>
      <w:r>
        <w:rPr>
          <w:rFonts w:ascii="仿宋_GB2312" w:hAnsi="仿宋_GB2312" w:cs="仿宋_GB2312" w:eastAsia="仿宋_GB2312"/>
        </w:rPr>
        <w:t>临潼区“水暖炕”改造项目(四次)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SXZM-JT-2025003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临潼区“水暖炕”改造项目(四次)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采购1200套水暖炕改造设备，完成全区1200户农村“水暖炕”改造建设工作，解决部分群众煤改洁后取暖问题.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采购包1（临潼区“水暖炕”改造项目）：属于专门面向中小企业采购。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3、社保缴纳证明：提供谈判时间前6个月内任意时段的缴纳证明。依法不需要交纳社会保障资金的供应商应提供相关文件证明。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谈判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或法定代表人授权委托书：法定代表人直接参加谈判的，须提供法定代表人身份证明及其身份证电子件或扫描件；法定代表人授权他人参加谈判的，须提供法定代表人授权委托书（附法定代表人、被授权人身份证电子件或扫描件）。</w:t>
      </w:r>
    </w:p>
    <w:p>
      <w:pPr>
        <w:pStyle w:val="null3"/>
      </w:pPr>
      <w:r>
        <w:rPr>
          <w:rFonts w:ascii="仿宋_GB2312" w:hAnsi="仿宋_GB2312" w:cs="仿宋_GB2312" w:eastAsia="仿宋_GB2312"/>
        </w:rPr>
        <w:t>9、信用记录声明：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11、供应商书面声明：供应商未为本项目提供整体设计、规范编制或者项目管理、监理、检测等服务的书面声明。</w:t>
      </w:r>
    </w:p>
    <w:p>
      <w:pPr>
        <w:pStyle w:val="null3"/>
      </w:pPr>
      <w:r>
        <w:rPr>
          <w:rFonts w:ascii="仿宋_GB2312" w:hAnsi="仿宋_GB2312" w:cs="仿宋_GB2312" w:eastAsia="仿宋_GB2312"/>
        </w:rPr>
        <w:t>12、供应商参与谈判的承诺函：符合竞争性谈判文件要求要求。</w:t>
      </w:r>
    </w:p>
    <w:p>
      <w:pPr>
        <w:pStyle w:val="null3"/>
      </w:pPr>
      <w:r>
        <w:rPr>
          <w:rFonts w:ascii="仿宋_GB2312" w:hAnsi="仿宋_GB2312" w:cs="仿宋_GB2312" w:eastAsia="仿宋_GB2312"/>
        </w:rPr>
        <w:t>13、本项目不接受联合体投标，不允许分包：符合竞争性谈判文件要求要求。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西安市临潼区东关街4号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计取。2.成交单位在领取成交通知书前，须向采购代理机构一次性支付招标代理服务费。3.招标代理服务费交纳信息： 户名：陕西正明项目管理有限公司 开户行：中国民生银行股份有限公司西安枫林绿洲支行； 账号：170455461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西安市生态环境局临潼分局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西安市生态环境局临潼分局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西安市生态环境局临潼分局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樊睿、刘晨星</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采购1200套水暖炕改造设备，完成全区1200户农村“水暖炕”改造建设工作，解决部分群众煤改洁后取暖问题。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水暖炕设备</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标的名称：水暖炕设备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一、项目概况：采购1200套水暖炕改造设备，完成全区1200户农村“水暖炕”改造建设工作，解决部分群众煤改洁后取暖问题。</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1.采购1200套水暖炕设备，并完成安装和调试工作，确保安装用户正常使用。</w:t>
            </w:r>
          </w:p>
          <w:p>
            <w:pPr>
              <w:pStyle w:val="null3"/>
              <w:jc w:val="both"/>
            </w:pPr>
            <w:r>
              <w:rPr>
                <w:rFonts w:ascii="仿宋_GB2312" w:hAnsi="仿宋_GB2312" w:cs="仿宋_GB2312" w:eastAsia="仿宋_GB2312"/>
                <w:sz w:val="21"/>
              </w:rPr>
              <w:t>2.本项目分两个阶段实施，第一阶段完成采购预算价款的30%；第二阶段具体实施时间接采购人通知后实施。</w:t>
            </w:r>
          </w:p>
          <w:p>
            <w:pPr>
              <w:pStyle w:val="null3"/>
              <w:jc w:val="left"/>
            </w:pPr>
            <w:r>
              <w:rPr>
                <w:rFonts w:ascii="仿宋_GB2312" w:hAnsi="仿宋_GB2312" w:cs="仿宋_GB2312" w:eastAsia="仿宋_GB2312"/>
                <w:sz w:val="21"/>
                <w:b/>
              </w:rPr>
              <w:t>三、</w:t>
            </w:r>
            <w:r>
              <w:rPr>
                <w:rFonts w:ascii="仿宋_GB2312" w:hAnsi="仿宋_GB2312" w:cs="仿宋_GB2312" w:eastAsia="仿宋_GB2312"/>
                <w:sz w:val="21"/>
                <w:b/>
              </w:rPr>
              <w:t>商务要求</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供货期限</w:t>
            </w:r>
          </w:p>
          <w:p>
            <w:pPr>
              <w:pStyle w:val="null3"/>
              <w:ind w:firstLine="420"/>
              <w:jc w:val="left"/>
            </w:pPr>
            <w:r>
              <w:rPr>
                <w:rFonts w:ascii="仿宋_GB2312" w:hAnsi="仿宋_GB2312" w:cs="仿宋_GB2312" w:eastAsia="仿宋_GB2312"/>
                <w:sz w:val="21"/>
              </w:rPr>
              <w:t>自合同签订之日起</w:t>
            </w:r>
            <w:r>
              <w:rPr>
                <w:rFonts w:ascii="仿宋_GB2312" w:hAnsi="仿宋_GB2312" w:cs="仿宋_GB2312" w:eastAsia="仿宋_GB2312"/>
                <w:sz w:val="21"/>
              </w:rPr>
              <w:t>15</w:t>
            </w:r>
            <w:r>
              <w:rPr>
                <w:rFonts w:ascii="仿宋_GB2312" w:hAnsi="仿宋_GB2312" w:cs="仿宋_GB2312" w:eastAsia="仿宋_GB2312"/>
                <w:sz w:val="21"/>
              </w:rPr>
              <w:t>日历天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款项结算</w:t>
            </w:r>
          </w:p>
          <w:p>
            <w:pPr>
              <w:pStyle w:val="null3"/>
              <w:ind w:firstLine="420"/>
              <w:jc w:val="left"/>
            </w:pPr>
            <w:r>
              <w:rPr>
                <w:rFonts w:ascii="仿宋_GB2312" w:hAnsi="仿宋_GB2312" w:cs="仿宋_GB2312" w:eastAsia="仿宋_GB2312"/>
                <w:sz w:val="21"/>
              </w:rPr>
              <w:t>①第一阶段实施完成并验收合格，根据实际发生的数量据实结算，最多支付至合同暂定金额的30%。</w:t>
            </w:r>
          </w:p>
          <w:p>
            <w:pPr>
              <w:pStyle w:val="null3"/>
              <w:ind w:firstLine="420"/>
              <w:jc w:val="left"/>
            </w:pPr>
            <w:r>
              <w:rPr>
                <w:rFonts w:ascii="仿宋_GB2312" w:hAnsi="仿宋_GB2312" w:cs="仿宋_GB2312" w:eastAsia="仿宋_GB2312"/>
                <w:sz w:val="21"/>
              </w:rPr>
              <w:t>②第二阶段实施完成并验收合格，根据实际发生数量一次性支付剩余款项。</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质量要求：符合国家相关质量标准和安全要求，并满足采购人的采购要求。</w:t>
            </w:r>
          </w:p>
          <w:p>
            <w:pPr>
              <w:pStyle w:val="null3"/>
              <w:ind w:firstLine="420"/>
              <w:jc w:val="left"/>
            </w:pPr>
            <w:r>
              <w:rPr>
                <w:rFonts w:ascii="仿宋_GB2312" w:hAnsi="仿宋_GB2312" w:cs="仿宋_GB2312" w:eastAsia="仿宋_GB2312"/>
                <w:sz w:val="21"/>
              </w:rPr>
              <w:t>（四）</w:t>
            </w:r>
            <w:r>
              <w:rPr>
                <w:rFonts w:ascii="仿宋_GB2312" w:hAnsi="仿宋_GB2312" w:cs="仿宋_GB2312" w:eastAsia="仿宋_GB2312"/>
                <w:sz w:val="21"/>
              </w:rPr>
              <w:t>质量验收标准或规范：</w:t>
            </w:r>
          </w:p>
          <w:p>
            <w:pPr>
              <w:pStyle w:val="null3"/>
              <w:ind w:firstLine="420"/>
              <w:jc w:val="left"/>
            </w:pPr>
            <w:r>
              <w:rPr>
                <w:rFonts w:ascii="仿宋_GB2312" w:hAnsi="仿宋_GB2312" w:cs="仿宋_GB2312" w:eastAsia="仿宋_GB2312"/>
                <w:sz w:val="21"/>
              </w:rPr>
              <w:t>1.本项目采用一般程序进行验收。项目验收另有国家强制性规定的，按国家规定执行，验收费用由乙方承担，验收报告作为申请付款的凭证之一。</w:t>
            </w:r>
          </w:p>
          <w:p>
            <w:pPr>
              <w:pStyle w:val="null3"/>
              <w:ind w:firstLine="420"/>
              <w:jc w:val="left"/>
            </w:pPr>
            <w:r>
              <w:rPr>
                <w:rFonts w:ascii="仿宋_GB2312" w:hAnsi="仿宋_GB2312" w:cs="仿宋_GB2312" w:eastAsia="仿宋_GB2312"/>
                <w:sz w:val="21"/>
              </w:rPr>
              <w:t>2.验收过程中产生纠纷的，由质量技术监督部门认定的检测机构检测,如为乙方原因造成的，由乙方承担检测费用；否则由甲方承担。</w:t>
            </w:r>
          </w:p>
          <w:p>
            <w:pPr>
              <w:pStyle w:val="null3"/>
              <w:ind w:firstLine="420"/>
              <w:jc w:val="left"/>
            </w:pPr>
            <w:r>
              <w:rPr>
                <w:rFonts w:ascii="仿宋_GB2312" w:hAnsi="仿宋_GB2312" w:cs="仿宋_GB2312" w:eastAsia="仿宋_GB2312"/>
                <w:sz w:val="21"/>
              </w:rPr>
              <w:t>3.项目验收不合格，由乙方返工直至合格，有关返工、再行验收，以及给甲方造成的损失等费用由乙方承担。连续两次项目验收不合格的，甲方可终止合同，另行按规定选择其他供应商采购，由此带来的一切损失由乙方承担。</w:t>
            </w:r>
          </w:p>
          <w:p>
            <w:pPr>
              <w:pStyle w:val="null3"/>
              <w:ind w:firstLine="420"/>
              <w:jc w:val="left"/>
            </w:pPr>
            <w:r>
              <w:rPr>
                <w:rFonts w:ascii="仿宋_GB2312" w:hAnsi="仿宋_GB2312" w:cs="仿宋_GB2312" w:eastAsia="仿宋_GB2312"/>
                <w:sz w:val="21"/>
              </w:rPr>
              <w:t>4.到货完成全部产品安装、调试、部署后开展项目初验，项目初验合格稳定运行三个月，各项指标参数均符合本次项目采购需求后开展项目最终验收。</w:t>
            </w:r>
          </w:p>
          <w:p>
            <w:pPr>
              <w:pStyle w:val="null3"/>
              <w:ind w:firstLine="420"/>
              <w:jc w:val="left"/>
            </w:pPr>
            <w:r>
              <w:rPr>
                <w:rFonts w:ascii="仿宋_GB2312" w:hAnsi="仿宋_GB2312" w:cs="仿宋_GB2312" w:eastAsia="仿宋_GB2312"/>
                <w:sz w:val="21"/>
              </w:rPr>
              <w:t>5.项目验收前，乙方应将项目有关的全部资料，包括产品合格证、检测证书、产品资料、技术文档等移交甲方，项目资料作为验收的重要依据。</w:t>
            </w:r>
          </w:p>
          <w:p>
            <w:pPr>
              <w:pStyle w:val="null3"/>
              <w:ind w:firstLine="420"/>
              <w:jc w:val="left"/>
            </w:pPr>
            <w:r>
              <w:rPr>
                <w:rFonts w:ascii="仿宋_GB2312" w:hAnsi="仿宋_GB2312" w:cs="仿宋_GB2312" w:eastAsia="仿宋_GB2312"/>
                <w:sz w:val="21"/>
              </w:rPr>
              <w:t>（五）</w:t>
            </w:r>
            <w:r>
              <w:rPr>
                <w:rFonts w:ascii="仿宋_GB2312" w:hAnsi="仿宋_GB2312" w:cs="仿宋_GB2312" w:eastAsia="仿宋_GB2312"/>
                <w:sz w:val="21"/>
              </w:rPr>
              <w:t>质保期：自项目验收合格之日起3年</w:t>
            </w:r>
          </w:p>
          <w:p>
            <w:pPr>
              <w:pStyle w:val="null3"/>
              <w:ind w:firstLine="420"/>
              <w:jc w:val="left"/>
            </w:pPr>
            <w:r>
              <w:rPr>
                <w:rFonts w:ascii="仿宋_GB2312" w:hAnsi="仿宋_GB2312" w:cs="仿宋_GB2312" w:eastAsia="仿宋_GB2312"/>
                <w:sz w:val="21"/>
              </w:rPr>
              <w:t>（六）产品要求：“水暖炕”设备坚持质量第一，安全可靠，节能环保。该产品要具备抗折、抗压、耐高温、过热保护、漏电保护等安全功能。</w:t>
            </w:r>
          </w:p>
          <w:p>
            <w:pPr>
              <w:pStyle w:val="null3"/>
              <w:ind w:firstLine="420"/>
              <w:jc w:val="left"/>
            </w:pPr>
            <w:r>
              <w:rPr>
                <w:rFonts w:ascii="仿宋_GB2312" w:hAnsi="仿宋_GB2312" w:cs="仿宋_GB2312" w:eastAsia="仿宋_GB2312"/>
                <w:sz w:val="21"/>
              </w:rPr>
              <w:t>（七）违约责任与解决争议的方法：</w:t>
            </w:r>
            <w:r>
              <w:rPr>
                <w:rFonts w:ascii="仿宋_GB2312" w:hAnsi="仿宋_GB2312" w:cs="仿宋_GB2312" w:eastAsia="仿宋_GB2312"/>
                <w:sz w:val="21"/>
              </w:rPr>
              <w:t>合同执行中发生争议的，当事人双方应协商解决，协商达不成一致时，可向人民法院提请诉讼。</w:t>
            </w:r>
          </w:p>
          <w:p>
            <w:pPr>
              <w:pStyle w:val="null3"/>
              <w:ind w:firstLine="422"/>
              <w:jc w:val="left"/>
            </w:pPr>
            <w:r>
              <w:rPr>
                <w:rFonts w:ascii="仿宋_GB2312" w:hAnsi="仿宋_GB2312" w:cs="仿宋_GB2312" w:eastAsia="仿宋_GB2312"/>
                <w:sz w:val="21"/>
              </w:rPr>
              <w:t>★</w:t>
            </w:r>
            <w:r>
              <w:rPr>
                <w:rFonts w:ascii="仿宋_GB2312" w:hAnsi="仿宋_GB2312" w:cs="仿宋_GB2312" w:eastAsia="仿宋_GB2312"/>
                <w:sz w:val="21"/>
                <w:b/>
              </w:rPr>
              <w:t>四、</w:t>
            </w:r>
            <w:r>
              <w:rPr>
                <w:rFonts w:ascii="仿宋_GB2312" w:hAnsi="仿宋_GB2312" w:cs="仿宋_GB2312" w:eastAsia="仿宋_GB2312"/>
                <w:sz w:val="21"/>
                <w:b/>
              </w:rPr>
              <w:t>技术要求</w:t>
            </w:r>
          </w:p>
          <w:p>
            <w:pPr>
              <w:pStyle w:val="null3"/>
              <w:ind w:firstLine="420"/>
              <w:jc w:val="left"/>
            </w:pPr>
            <w:r>
              <w:rPr>
                <w:rFonts w:ascii="仿宋_GB2312" w:hAnsi="仿宋_GB2312" w:cs="仿宋_GB2312" w:eastAsia="仿宋_GB2312"/>
                <w:sz w:val="21"/>
              </w:rPr>
              <w:t>1、主机</w:t>
            </w:r>
          </w:p>
          <w:p>
            <w:pPr>
              <w:pStyle w:val="null3"/>
              <w:ind w:firstLine="420"/>
              <w:jc w:val="left"/>
            </w:pPr>
            <w:r>
              <w:rPr>
                <w:rFonts w:ascii="仿宋_GB2312" w:hAnsi="仿宋_GB2312" w:cs="仿宋_GB2312" w:eastAsia="仿宋_GB2312"/>
                <w:sz w:val="21"/>
              </w:rPr>
              <w:t>①主机采用 PTC 陶瓷水电分离加热;</w:t>
            </w:r>
          </w:p>
          <w:p>
            <w:pPr>
              <w:pStyle w:val="null3"/>
              <w:ind w:firstLine="420"/>
              <w:jc w:val="left"/>
            </w:pPr>
            <w:r>
              <w:rPr>
                <w:rFonts w:ascii="仿宋_GB2312" w:hAnsi="仿宋_GB2312" w:cs="仿宋_GB2312" w:eastAsia="仿宋_GB2312"/>
                <w:sz w:val="21"/>
              </w:rPr>
              <w:t>②功率:800-1200W;</w:t>
            </w:r>
          </w:p>
          <w:p>
            <w:pPr>
              <w:pStyle w:val="null3"/>
              <w:ind w:firstLine="420"/>
              <w:jc w:val="left"/>
            </w:pPr>
            <w:r>
              <w:rPr>
                <w:rFonts w:ascii="仿宋_GB2312" w:hAnsi="仿宋_GB2312" w:cs="仿宋_GB2312" w:eastAsia="仿宋_GB2312"/>
                <w:sz w:val="21"/>
              </w:rPr>
              <w:t>③加热器温度可任意调节(带遥控器)</w:t>
            </w:r>
          </w:p>
          <w:p>
            <w:pPr>
              <w:pStyle w:val="null3"/>
              <w:ind w:firstLine="420"/>
              <w:jc w:val="left"/>
            </w:pPr>
            <w:r>
              <w:rPr>
                <w:rFonts w:ascii="仿宋_GB2312" w:hAnsi="仿宋_GB2312" w:cs="仿宋_GB2312" w:eastAsia="仿宋_GB2312"/>
                <w:sz w:val="21"/>
              </w:rPr>
              <w:t>④最高温度设置≥65 摄氏度;</w:t>
            </w:r>
          </w:p>
          <w:p>
            <w:pPr>
              <w:pStyle w:val="null3"/>
              <w:ind w:firstLine="420"/>
              <w:jc w:val="left"/>
            </w:pPr>
            <w:r>
              <w:rPr>
                <w:rFonts w:ascii="仿宋_GB2312" w:hAnsi="仿宋_GB2312" w:cs="仿宋_GB2312" w:eastAsia="仿宋_GB2312"/>
                <w:sz w:val="21"/>
              </w:rPr>
              <w:t>⑤超静音直流水泵输入功率≥3w，直流水泵额定电压≥12V，最大流量每分钟≥5升;扬程≥1.7 米；</w:t>
            </w:r>
          </w:p>
          <w:p>
            <w:pPr>
              <w:pStyle w:val="null3"/>
              <w:ind w:firstLine="420"/>
              <w:jc w:val="left"/>
            </w:pPr>
            <w:r>
              <w:rPr>
                <w:rFonts w:ascii="仿宋_GB2312" w:hAnsi="仿宋_GB2312" w:cs="仿宋_GB2312" w:eastAsia="仿宋_GB2312"/>
                <w:sz w:val="21"/>
              </w:rPr>
              <w:t>⑥直流水泵匹配的线路板有变压器，把高压电和低压电分开控制，行业称之为隔离方案线路板，控制面板为5V 直流电压。有高温断电、断水断电、干烧漏电保护等多重功能;</w:t>
            </w:r>
          </w:p>
          <w:p>
            <w:pPr>
              <w:pStyle w:val="null3"/>
              <w:ind w:firstLine="420"/>
              <w:jc w:val="left"/>
            </w:pPr>
            <w:r>
              <w:rPr>
                <w:rFonts w:ascii="仿宋_GB2312" w:hAnsi="仿宋_GB2312" w:cs="仿宋_GB2312" w:eastAsia="仿宋_GB2312"/>
                <w:sz w:val="21"/>
              </w:rPr>
              <w:t>⑦PTC 发热金属体（加热体）具备国家认可的第三方检测机构出具的 ROHS 验证报告；</w:t>
            </w:r>
          </w:p>
          <w:p>
            <w:pPr>
              <w:pStyle w:val="null3"/>
              <w:ind w:firstLine="420"/>
              <w:jc w:val="left"/>
            </w:pPr>
            <w:r>
              <w:rPr>
                <w:rFonts w:ascii="仿宋_GB2312" w:hAnsi="仿宋_GB2312" w:cs="仿宋_GB2312" w:eastAsia="仿宋_GB2312"/>
                <w:sz w:val="21"/>
              </w:rPr>
              <w:t>⑧电源配件须有 CCC 认证；</w:t>
            </w:r>
          </w:p>
          <w:p>
            <w:pPr>
              <w:pStyle w:val="null3"/>
              <w:ind w:firstLine="420"/>
              <w:jc w:val="left"/>
            </w:pPr>
            <w:r>
              <w:rPr>
                <w:rFonts w:ascii="仿宋_GB2312" w:hAnsi="仿宋_GB2312" w:cs="仿宋_GB2312" w:eastAsia="仿宋_GB2312"/>
                <w:sz w:val="21"/>
              </w:rPr>
              <w:t>⑨水箱容积≥950 毫升；</w:t>
            </w:r>
          </w:p>
          <w:p>
            <w:pPr>
              <w:pStyle w:val="null3"/>
              <w:ind w:firstLine="420"/>
              <w:jc w:val="left"/>
            </w:pPr>
            <w:r>
              <w:rPr>
                <w:rFonts w:ascii="仿宋_GB2312" w:hAnsi="仿宋_GB2312" w:cs="仿宋_GB2312" w:eastAsia="仿宋_GB2312"/>
                <w:sz w:val="21"/>
              </w:rPr>
              <w:t>⑩制造商授权货物的安全责任须保险公司通过产品责任险承保，且保单在有效期内。</w:t>
            </w:r>
          </w:p>
          <w:p>
            <w:pPr>
              <w:pStyle w:val="null3"/>
              <w:ind w:firstLine="420"/>
              <w:jc w:val="left"/>
            </w:pPr>
            <w:r>
              <w:rPr>
                <w:rFonts w:ascii="仿宋_GB2312" w:hAnsi="仿宋_GB2312" w:cs="仿宋_GB2312" w:eastAsia="仿宋_GB2312"/>
                <w:sz w:val="21"/>
              </w:rPr>
              <w:t>2、炕板</w:t>
            </w:r>
          </w:p>
          <w:p>
            <w:pPr>
              <w:pStyle w:val="null3"/>
              <w:ind w:firstLine="420"/>
              <w:jc w:val="left"/>
            </w:pPr>
            <w:r>
              <w:rPr>
                <w:rFonts w:ascii="仿宋_GB2312" w:hAnsi="仿宋_GB2312" w:cs="仿宋_GB2312" w:eastAsia="仿宋_GB2312"/>
                <w:sz w:val="21"/>
              </w:rPr>
              <w:t>①采用高密度嵌入式环保挤塑阻燃材料;</w:t>
            </w:r>
          </w:p>
          <w:p>
            <w:pPr>
              <w:pStyle w:val="null3"/>
              <w:ind w:firstLine="420"/>
              <w:jc w:val="left"/>
            </w:pPr>
            <w:r>
              <w:rPr>
                <w:rFonts w:ascii="仿宋_GB2312" w:hAnsi="仿宋_GB2312" w:cs="仿宋_GB2312" w:eastAsia="仿宋_GB2312"/>
                <w:sz w:val="21"/>
              </w:rPr>
              <w:t>②表面采用铝膜工艺，板材厚度≥18mm，容重每立方米≥40 千克，炕板为阻燃板，炕板设计铺设面积≥3.5平米，施工原则上以铺满炕面为标准。</w:t>
            </w:r>
          </w:p>
          <w:p>
            <w:pPr>
              <w:pStyle w:val="null3"/>
              <w:ind w:firstLine="420"/>
              <w:jc w:val="left"/>
            </w:pPr>
            <w:r>
              <w:rPr>
                <w:rFonts w:ascii="仿宋_GB2312" w:hAnsi="仿宋_GB2312" w:cs="仿宋_GB2312" w:eastAsia="仿宋_GB2312"/>
                <w:sz w:val="21"/>
              </w:rPr>
              <w:t>③阻燃炕板须使用原包料，不含再生料，防火等级高的同时，具有抗氧化，抗疲劳性能；阻燃炕板压缩强度≥300kPa。</w:t>
            </w:r>
          </w:p>
          <w:p>
            <w:pPr>
              <w:pStyle w:val="null3"/>
              <w:ind w:firstLine="420"/>
              <w:jc w:val="left"/>
            </w:pPr>
            <w:r>
              <w:rPr>
                <w:rFonts w:ascii="仿宋_GB2312" w:hAnsi="仿宋_GB2312" w:cs="仿宋_GB2312" w:eastAsia="仿宋_GB2312"/>
                <w:sz w:val="21"/>
              </w:rPr>
              <w:t>3、水管</w:t>
            </w:r>
          </w:p>
          <w:p>
            <w:pPr>
              <w:pStyle w:val="null3"/>
              <w:ind w:firstLine="420"/>
              <w:jc w:val="left"/>
            </w:pPr>
            <w:r>
              <w:rPr>
                <w:rFonts w:ascii="仿宋_GB2312" w:hAnsi="仿宋_GB2312" w:cs="仿宋_GB2312" w:eastAsia="仿宋_GB2312"/>
                <w:sz w:val="21"/>
              </w:rPr>
              <w:t>①水管采用PE-RT 水暖管；</w:t>
            </w:r>
          </w:p>
          <w:p>
            <w:pPr>
              <w:pStyle w:val="null3"/>
              <w:ind w:firstLine="420"/>
              <w:jc w:val="left"/>
            </w:pPr>
            <w:r>
              <w:rPr>
                <w:rFonts w:ascii="仿宋_GB2312" w:hAnsi="仿宋_GB2312" w:cs="仿宋_GB2312" w:eastAsia="仿宋_GB2312"/>
                <w:sz w:val="21"/>
              </w:rPr>
              <w:t>②水暖管外径≥10mm，壁厚≥1.5mm；</w:t>
            </w:r>
          </w:p>
          <w:p>
            <w:pPr>
              <w:pStyle w:val="null3"/>
              <w:ind w:firstLine="420"/>
              <w:jc w:val="left"/>
            </w:pPr>
            <w:r>
              <w:rPr>
                <w:rFonts w:ascii="仿宋_GB2312" w:hAnsi="仿宋_GB2312" w:cs="仿宋_GB2312" w:eastAsia="仿宋_GB2312"/>
                <w:sz w:val="21"/>
              </w:rPr>
              <w:t>③长期容热≥75℃，铺设面积≥3.5平米；</w:t>
            </w:r>
          </w:p>
          <w:p>
            <w:pPr>
              <w:pStyle w:val="null3"/>
              <w:ind w:firstLine="420"/>
              <w:jc w:val="left"/>
            </w:pPr>
            <w:r>
              <w:rPr>
                <w:rFonts w:ascii="仿宋_GB2312" w:hAnsi="仿宋_GB2312" w:cs="仿宋_GB2312" w:eastAsia="仿宋_GB2312"/>
                <w:sz w:val="21"/>
              </w:rPr>
              <w:t>④折叠实验≥15000次</w:t>
            </w:r>
          </w:p>
          <w:p>
            <w:pPr>
              <w:pStyle w:val="null3"/>
              <w:ind w:firstLine="420"/>
              <w:jc w:val="left"/>
            </w:pPr>
            <w:r>
              <w:rPr>
                <w:rFonts w:ascii="仿宋_GB2312" w:hAnsi="仿宋_GB2312" w:cs="仿宋_GB2312" w:eastAsia="仿宋_GB2312"/>
                <w:sz w:val="21"/>
                <w:b/>
              </w:rPr>
              <w:t>备注：标“★”技术参数要求必须逐条提供证明材料（其证明材料包括但不限于第三方检测报告、厂家检验报告、产品彩页或说明书、官网功能截图等内容），未提供证明材料视为未实质性响应竞争性谈判文件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第一阶段实施完成并验收合格，根据实际发生的数量据实结算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第二阶段实施完成并验收合格，根据实际发生数量一次性支付剩余款项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符合国家相关质量标准和安全要求，并满足采购人的采购要求。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1.本项目合同包1为专门面向中小企业采购。 2.本项目属性为货物。 3.本项目合同包1采购标的所属行业为：工业；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提供谈判时间前6个月内任意时段的缴纳证明。依法不需要交纳社会保障资金的供应商应提供相关文件证明。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法定代表人直接参加谈判的，须提供法定代表人身份证明及其身份证电子件或扫描件；法定代表人授权他人参加谈判的，须提供法定代表人授权委托书（附法定代表人、被授权人身份证电子件或扫描件）。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供应商参与谈判的承诺函</w:t>
            </w:r>
          </w:p>
        </w:tc>
        <w:tc>
          <w:tcPr>
            <w:tcW w:type="dxa" w:w="3322"/>
          </w:tcPr>
          <w:p>
            <w:pPr>
              <w:pStyle w:val="null3"/>
            </w:pPr>
            <w:r>
              <w:rPr>
                <w:rFonts w:ascii="仿宋_GB2312" w:hAnsi="仿宋_GB2312" w:cs="仿宋_GB2312" w:eastAsia="仿宋_GB2312"/>
              </w:rPr>
              <w:t>符合竞争性谈判文件要求要求。</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符合竞争性谈判文件要求要求。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（3）计量单位、报价货币均符合竞争性谈判文件要求； （4）未超出竞争性谈判文件规定的最高限价。</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对竞争性谈判文件响应程度</w:t>
            </w:r>
          </w:p>
        </w:tc>
        <w:tc>
          <w:tcPr>
            <w:tcW w:type="dxa" w:w="3322"/>
          </w:tcPr>
          <w:p>
            <w:pPr>
              <w:pStyle w:val="null3"/>
            </w:pPr>
            <w:r>
              <w:rPr>
                <w:rFonts w:ascii="仿宋_GB2312" w:hAnsi="仿宋_GB2312" w:cs="仿宋_GB2312" w:eastAsia="仿宋_GB2312"/>
              </w:rPr>
              <w:t>要求实质性条款全部响应，竞争性谈判文件中标★项为实质性条款。（竞争性谈判文件未设置实质性条款时请忽略此项）</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完全理解并接受竞争性谈判文件合同条款要求的描述</w:t>
            </w:r>
          </w:p>
        </w:tc>
        <w:tc>
          <w:tcPr>
            <w:tcW w:type="dxa" w:w="1661"/>
          </w:tcPr>
          <w:p>
            <w:pPr>
              <w:pStyle w:val="null3"/>
            </w:pPr>
            <w:r>
              <w:rPr>
                <w:rFonts w:ascii="仿宋_GB2312" w:hAnsi="仿宋_GB2312" w:cs="仿宋_GB2312" w:eastAsia="仿宋_GB2312"/>
              </w:rPr>
              <w:t>第二部分符合性证明文件.docx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