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版本号：0617-2522FZ378020260115001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医保药品追溯信息采集系统项目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0617-2522FZ3780</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医保药品追溯信息采集系统项目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0617-2522FZ3780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医保药品追溯信息采集系统项目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帮助医院优化现有的入库流程，以减少不必要的重复工作。支持与配送企业协商，要求其提供更为详细的包装和追溯码信息，以便医院在入库前就能对药品的包装和追溯码有所了解，提高医院采购效率、提高入库数据准确性；第一时间将药品网上采购全流程进行规范化管理、将院内目录进行及时预警提醒医院业务工作人员，帮助医院对院内目录信息进行及时的更新和维护，需进行医保招采前置服务及医院药品追溯码平台建设，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采购包1（医保药品追溯信息采集系统项目）：属于专门面向中小企业采购。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本单位证明：供应商应授权合法的人员参加磋商，其中法定代表人（主要负责人）直接参加的须出具法定代表人（主要负责人）身份证并与营业执照上信息一致，法定代表人（主要负责人）委托代理人参加磋商时，应提供法定代表人（主要负责人）身份证明和法定代表人（主要负责人）委托授权书（及被授权人近三个月内在本单位社保缴纳的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西安市后宰门185号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杨凡（项目负责人）、王炳淇、程佳、张勃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0.8的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帮助医院优化现有的入库流程，以减少不必要的重复工作。支持与配送企业协商，要求其提供更为详细的包装和追溯码信息，以便医院在入库前就能对药品的包装和追溯码有所了解，提高医院采购效率、提高入库数据准确性；第一时间将药品网上采购全流程进行规范化管理、将院内目录进行及时预警提醒医院业务工作人员，帮助医院对院内目录信息进行及时的更新和维护，需进行医保招采前置服务及医院药品追溯码平台建设，具体内容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西安市中心医院医保药品追溯信息采集系统项目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标的名称：西安市中心医院医保药品追溯信息采集系统项目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pPr>
            <w:r>
              <w:rPr>
                <w:rFonts w:ascii="仿宋_GB2312" w:hAnsi="仿宋_GB2312" w:cs="仿宋_GB2312" w:eastAsia="仿宋_GB2312"/>
                <w:sz w:val="21"/>
                <w:b/>
              </w:rPr>
              <w:t>1.</w:t>
            </w:r>
            <w:r>
              <w:rPr>
                <w:rFonts w:ascii="仿宋_GB2312" w:hAnsi="仿宋_GB2312" w:cs="仿宋_GB2312" w:eastAsia="仿宋_GB2312"/>
                <w:sz w:val="21"/>
                <w:b/>
              </w:rPr>
              <w:t>项目背景与必要性</w:t>
            </w:r>
          </w:p>
          <w:p>
            <w:pPr>
              <w:pStyle w:val="null3"/>
              <w:ind w:left="570"/>
            </w:pPr>
            <w:r>
              <w:rPr>
                <w:rFonts w:ascii="仿宋_GB2312" w:hAnsi="仿宋_GB2312" w:cs="仿宋_GB2312" w:eastAsia="仿宋_GB2312"/>
                <w:sz w:val="21"/>
                <w:b/>
              </w:rPr>
              <w:t>1.1.</w:t>
            </w:r>
            <w:r>
              <w:rPr>
                <w:rFonts w:ascii="仿宋_GB2312" w:hAnsi="仿宋_GB2312" w:cs="仿宋_GB2312" w:eastAsia="仿宋_GB2312"/>
                <w:sz w:val="21"/>
                <w:b/>
              </w:rPr>
              <w:t>政策驱动</w:t>
            </w:r>
          </w:p>
          <w:p>
            <w:pPr>
              <w:pStyle w:val="null3"/>
              <w:ind w:left="705"/>
              <w:jc w:val="both"/>
            </w:pPr>
            <w:r>
              <w:rPr>
                <w:rFonts w:ascii="仿宋_GB2312" w:hAnsi="仿宋_GB2312" w:cs="仿宋_GB2312" w:eastAsia="仿宋_GB2312"/>
                <w:sz w:val="21"/>
                <w:b/>
              </w:rPr>
              <w:t>1.1.1.</w:t>
            </w:r>
            <w:r>
              <w:rPr>
                <w:rFonts w:ascii="仿宋_GB2312" w:hAnsi="仿宋_GB2312" w:cs="仿宋_GB2312" w:eastAsia="仿宋_GB2312"/>
                <w:sz w:val="21"/>
                <w:b/>
              </w:rPr>
              <w:t>医保招采前置服务平台相关政策要求</w:t>
            </w:r>
          </w:p>
          <w:p>
            <w:pPr>
              <w:pStyle w:val="null3"/>
              <w:ind w:firstLine="420"/>
              <w:jc w:val="both"/>
            </w:pPr>
            <w:r>
              <w:rPr>
                <w:rFonts w:ascii="仿宋_GB2312" w:hAnsi="仿宋_GB2312" w:cs="仿宋_GB2312" w:eastAsia="仿宋_GB2312"/>
                <w:sz w:val="21"/>
              </w:rPr>
              <w:t>2023年3月，国家医保局发布《关于做好2023年医药集中采购和价格管理工作的通知》，进一步强调提升“网采率”，提出“要提升医药集中采购经办水平。常态化开展网采率测算，加强医用耗材特别是高值医用耗材网采率测算，各地要按照测算方法下算一级，不断提升公立医疗机构药品耗材网采率。”</w:t>
            </w:r>
          </w:p>
          <w:p>
            <w:pPr>
              <w:pStyle w:val="null3"/>
              <w:ind w:firstLine="420"/>
              <w:jc w:val="both"/>
            </w:pPr>
            <w:r>
              <w:rPr>
                <w:rFonts w:ascii="仿宋_GB2312" w:hAnsi="仿宋_GB2312" w:cs="仿宋_GB2312" w:eastAsia="仿宋_GB2312"/>
                <w:sz w:val="21"/>
              </w:rPr>
              <w:t>根据《</w:t>
            </w:r>
            <w:r>
              <w:rPr>
                <w:rFonts w:ascii="仿宋_GB2312" w:hAnsi="仿宋_GB2312" w:cs="仿宋_GB2312" w:eastAsia="仿宋_GB2312"/>
                <w:sz w:val="21"/>
              </w:rPr>
              <w:t>“十四五”全民医疗保障规划</w:t>
            </w:r>
            <w:r>
              <w:rPr>
                <w:rFonts w:ascii="仿宋_GB2312" w:hAnsi="仿宋_GB2312" w:cs="仿宋_GB2312" w:eastAsia="仿宋_GB2312"/>
                <w:sz w:val="21"/>
              </w:rPr>
              <w:t>》，提高药品和高值医用耗材的网采率是规划中的重要指标之一，旨在通过网络采购来减少线下采购，提升医疗保障工作的效率和透明度。</w:t>
            </w:r>
          </w:p>
          <w:p>
            <w:pPr>
              <w:pStyle w:val="null3"/>
              <w:ind w:firstLine="420"/>
              <w:jc w:val="both"/>
            </w:pPr>
            <w:r>
              <w:rPr>
                <w:rFonts w:ascii="仿宋_GB2312" w:hAnsi="仿宋_GB2312" w:cs="仿宋_GB2312" w:eastAsia="仿宋_GB2312"/>
                <w:sz w:val="21"/>
              </w:rPr>
              <w:t>随着国家对医疗卫生事业的不断深化改革，药品的采购管理成为了医院管理的重要环节，各地市医保局为相应政策要求，现对医院招采环节的各项指标进行考核并制定了相应的制度。医院积极响应国家政策，满足医保要求，希望通过实现药品的网上采购全流程闭环管理，进一步提升采购流程的规范化、信息化水平，大大减轻采购和入库人员的工作量，从而优化资源配置，降低采购成本，提高医院运营效率。</w:t>
            </w:r>
          </w:p>
          <w:p>
            <w:pPr>
              <w:pStyle w:val="null3"/>
              <w:ind w:left="705"/>
              <w:jc w:val="both"/>
            </w:pPr>
            <w:r>
              <w:rPr>
                <w:rFonts w:ascii="仿宋_GB2312" w:hAnsi="仿宋_GB2312" w:cs="仿宋_GB2312" w:eastAsia="仿宋_GB2312"/>
                <w:sz w:val="21"/>
                <w:b/>
              </w:rPr>
              <w:t>1.1.2.</w:t>
            </w:r>
            <w:r>
              <w:rPr>
                <w:rFonts w:ascii="仿宋_GB2312" w:hAnsi="仿宋_GB2312" w:cs="仿宋_GB2312" w:eastAsia="仿宋_GB2312"/>
                <w:sz w:val="21"/>
                <w:b/>
              </w:rPr>
              <w:t>追溯码管理平台相关政策要求</w:t>
            </w:r>
          </w:p>
          <w:p>
            <w:pPr>
              <w:pStyle w:val="null3"/>
              <w:ind w:firstLine="420"/>
              <w:jc w:val="both"/>
            </w:pPr>
            <w:r>
              <w:rPr>
                <w:rFonts w:ascii="仿宋_GB2312" w:hAnsi="仿宋_GB2312" w:cs="仿宋_GB2312" w:eastAsia="仿宋_GB2312"/>
                <w:sz w:val="21"/>
              </w:rPr>
              <w:t>2024年7月10日，国家医保局发布了《药品追溯码应用方案》征求意见稿，再次将药品追溯码的应用推向了新的高度，预示着药品追溯体系的全面升级与监管力度的增强。在地方层面，各地积极响应国家政策导向，结合各自区域特点，纷纷开展药品追溯码应用的实践探索。2025年7月1日起，国家医保局要求医院在销售环节按要求扫码后方可进行医保基金结算，对此前已采购的无追溯码药品，列入“无码库”管理，暂可进行医保结算。2026年1月1日起，所有医药机构都要实现药品追溯码全量采集上传。医院积极启动医保药品追溯码信息的采集与应用工作，力求在地方层面构建起坚实的药品追溯防线。</w:t>
            </w:r>
          </w:p>
          <w:p>
            <w:pPr>
              <w:pStyle w:val="null3"/>
              <w:ind w:left="570"/>
            </w:pPr>
            <w:r>
              <w:rPr>
                <w:rFonts w:ascii="仿宋_GB2312" w:hAnsi="仿宋_GB2312" w:cs="仿宋_GB2312" w:eastAsia="仿宋_GB2312"/>
                <w:sz w:val="21"/>
                <w:b/>
              </w:rPr>
              <w:t>1.2.</w:t>
            </w:r>
            <w:r>
              <w:rPr>
                <w:rFonts w:ascii="仿宋_GB2312" w:hAnsi="仿宋_GB2312" w:cs="仿宋_GB2312" w:eastAsia="仿宋_GB2312"/>
                <w:sz w:val="21"/>
                <w:b/>
              </w:rPr>
              <w:t>项目建设必要性</w:t>
            </w:r>
          </w:p>
          <w:p>
            <w:pPr>
              <w:pStyle w:val="null3"/>
              <w:ind w:firstLine="420"/>
              <w:jc w:val="both"/>
            </w:pPr>
            <w:r>
              <w:rPr>
                <w:rFonts w:ascii="仿宋_GB2312" w:hAnsi="仿宋_GB2312" w:cs="仿宋_GB2312" w:eastAsia="仿宋_GB2312"/>
                <w:sz w:val="21"/>
              </w:rPr>
              <w:t>为帮助医院优化现有的入库流程，以减少不必要的重复工作。支持与配送企业协商，要求其提供更为详细的包装和追溯码信息，以便医院在入库前就能对药品的包装和追溯码有所了解，提高医院采购效率、提高入库数据准确性；第一时间将药品网上采购全流程进行规范化管理、将院内目录进行及时预警提醒医院业务</w:t>
            </w:r>
            <w:r>
              <w:rPr>
                <w:rFonts w:ascii="仿宋_GB2312" w:hAnsi="仿宋_GB2312" w:cs="仿宋_GB2312" w:eastAsia="仿宋_GB2312"/>
                <w:sz w:val="21"/>
              </w:rPr>
              <w:t>工作人员</w:t>
            </w:r>
            <w:r>
              <w:rPr>
                <w:rFonts w:ascii="仿宋_GB2312" w:hAnsi="仿宋_GB2312" w:cs="仿宋_GB2312" w:eastAsia="仿宋_GB2312"/>
                <w:sz w:val="21"/>
              </w:rPr>
              <w:t>，帮助医院对院内目录信息进行及时的更新和维护，需进行医保招采前置服务及医院药品追溯码平台建设。</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医保招采前置服务平台及追溯码管理平台的概念</w:t>
            </w:r>
          </w:p>
          <w:p>
            <w:pPr>
              <w:pStyle w:val="null3"/>
              <w:ind w:firstLine="420"/>
              <w:jc w:val="both"/>
            </w:pPr>
            <w:r>
              <w:rPr>
                <w:rFonts w:ascii="仿宋_GB2312" w:hAnsi="仿宋_GB2312" w:cs="仿宋_GB2312" w:eastAsia="仿宋_GB2312"/>
                <w:sz w:val="21"/>
              </w:rPr>
              <w:t>医保招采前置服务平台将省医保招采平台的接口前置到医院内部，并结合医院的个性化需求，围绕药品的采购、配送、验收等环节进行优化，以方便医院提升药品阳光采购的规范性，减少工作人员的工作强度，以信息化的手段提升医院在阳光采购方面的管理水平。</w:t>
            </w:r>
          </w:p>
          <w:p>
            <w:pPr>
              <w:pStyle w:val="null3"/>
              <w:ind w:firstLine="420"/>
              <w:jc w:val="both"/>
            </w:pPr>
            <w:r>
              <w:rPr>
                <w:rFonts w:ascii="仿宋_GB2312" w:hAnsi="仿宋_GB2312" w:cs="仿宋_GB2312" w:eastAsia="仿宋_GB2312"/>
                <w:sz w:val="21"/>
              </w:rPr>
              <w:t>追溯码管理平台通过与配送企业、第三方追溯码平台以及医保追溯码库进行对接，在医院院内入库环节与配送订单关联，实现快速批量扫描追溯码并解析出追溯码大小包装对应关系，本地形成医院的追溯码数据库，减轻药库工作人员压力。在医院的发药环节通过使用高拍仪，实现院内出库环节辅助药房发药人员快速完成药品的追溯码批量采集，并生成处方与追溯码匹配关系库，供医院追溯码上传两定接口，提供数据保障，提升了药品流通环节的透明度。</w:t>
            </w:r>
          </w:p>
          <w:p>
            <w:pPr>
              <w:pStyle w:val="null3"/>
              <w:ind w:left="420"/>
            </w:pPr>
            <w:r>
              <w:rPr>
                <w:rFonts w:ascii="仿宋_GB2312" w:hAnsi="仿宋_GB2312" w:cs="仿宋_GB2312" w:eastAsia="仿宋_GB2312"/>
                <w:sz w:val="21"/>
                <w:b/>
              </w:rPr>
              <w:t>3.</w:t>
            </w:r>
            <w:r>
              <w:rPr>
                <w:rFonts w:ascii="仿宋_GB2312" w:hAnsi="仿宋_GB2312" w:cs="仿宋_GB2312" w:eastAsia="仿宋_GB2312"/>
                <w:sz w:val="21"/>
                <w:b/>
              </w:rPr>
              <w:t>项目建设依据</w:t>
            </w:r>
          </w:p>
          <w:p>
            <w:pPr>
              <w:pStyle w:val="null3"/>
              <w:ind w:firstLine="420"/>
              <w:jc w:val="both"/>
            </w:pPr>
            <w:r>
              <w:rPr>
                <w:rFonts w:ascii="仿宋_GB2312" w:hAnsi="仿宋_GB2312" w:cs="仿宋_GB2312" w:eastAsia="仿宋_GB2312"/>
                <w:sz w:val="21"/>
              </w:rPr>
              <w:t>1、《关于加强公立医疗机构阳光采购监测工作的通知》（苏医保发〔2022〕38号）；</w:t>
            </w:r>
          </w:p>
          <w:p>
            <w:pPr>
              <w:pStyle w:val="null3"/>
              <w:ind w:firstLine="420"/>
              <w:jc w:val="both"/>
            </w:pPr>
            <w:r>
              <w:rPr>
                <w:rFonts w:ascii="仿宋_GB2312" w:hAnsi="仿宋_GB2312" w:cs="仿宋_GB2312" w:eastAsia="仿宋_GB2312"/>
                <w:sz w:val="21"/>
              </w:rPr>
              <w:t>2、《2024年医保基金违法违规问题专项整治工作方案》（国家医保局2024年4月16日）；</w:t>
            </w:r>
          </w:p>
          <w:p>
            <w:pPr>
              <w:pStyle w:val="null3"/>
              <w:ind w:firstLine="420"/>
              <w:jc w:val="both"/>
            </w:pPr>
            <w:r>
              <w:rPr>
                <w:rFonts w:ascii="仿宋_GB2312" w:hAnsi="仿宋_GB2312" w:cs="仿宋_GB2312" w:eastAsia="仿宋_GB2312"/>
                <w:sz w:val="21"/>
              </w:rPr>
              <w:t>3、《国家医疗保障局办公室关于加强区域协同 做好2024年医药集中采购提质扩面的通知》（医保办发〔2024〕8号）；</w:t>
            </w:r>
          </w:p>
          <w:p>
            <w:pPr>
              <w:pStyle w:val="null3"/>
              <w:ind w:firstLine="420"/>
              <w:jc w:val="both"/>
            </w:pPr>
            <w:r>
              <w:rPr>
                <w:rFonts w:ascii="仿宋_GB2312" w:hAnsi="仿宋_GB2312" w:cs="仿宋_GB2312" w:eastAsia="仿宋_GB2312"/>
                <w:sz w:val="21"/>
              </w:rPr>
              <w:t>4、《关于在药品采购环节加强药品追溯码应用的方案》（征求意见稿）</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建设目标</w:t>
            </w:r>
          </w:p>
          <w:p>
            <w:pPr>
              <w:pStyle w:val="null3"/>
              <w:ind w:left="570"/>
            </w:pPr>
            <w:r>
              <w:rPr>
                <w:rFonts w:ascii="仿宋_GB2312" w:hAnsi="仿宋_GB2312" w:cs="仿宋_GB2312" w:eastAsia="仿宋_GB2312"/>
                <w:sz w:val="21"/>
                <w:b/>
              </w:rPr>
              <w:t>4.1.</w:t>
            </w:r>
            <w:r>
              <w:rPr>
                <w:rFonts w:ascii="仿宋_GB2312" w:hAnsi="仿宋_GB2312" w:cs="仿宋_GB2312" w:eastAsia="仿宋_GB2312"/>
                <w:sz w:val="21"/>
                <w:b/>
              </w:rPr>
              <w:t>医保招采前置服务平台</w:t>
            </w:r>
          </w:p>
          <w:p>
            <w:pPr>
              <w:pStyle w:val="null3"/>
              <w:ind w:left="705"/>
            </w:pPr>
            <w:r>
              <w:rPr>
                <w:rFonts w:ascii="仿宋_GB2312" w:hAnsi="仿宋_GB2312" w:cs="仿宋_GB2312" w:eastAsia="仿宋_GB2312"/>
                <w:sz w:val="21"/>
                <w:b/>
              </w:rPr>
              <w:t>4.1.1.</w:t>
            </w:r>
            <w:r>
              <w:rPr>
                <w:rFonts w:ascii="仿宋_GB2312" w:hAnsi="仿宋_GB2312" w:cs="仿宋_GB2312" w:eastAsia="仿宋_GB2312"/>
                <w:sz w:val="21"/>
                <w:b/>
              </w:rPr>
              <w:t>规范采购流程</w:t>
            </w:r>
          </w:p>
          <w:p>
            <w:pPr>
              <w:pStyle w:val="null3"/>
              <w:ind w:firstLine="420"/>
              <w:jc w:val="both"/>
            </w:pPr>
            <w:r>
              <w:rPr>
                <w:rFonts w:ascii="仿宋_GB2312" w:hAnsi="仿宋_GB2312" w:cs="仿宋_GB2312" w:eastAsia="仿宋_GB2312"/>
                <w:sz w:val="21"/>
              </w:rPr>
              <w:t>通过对药品的网上采购全流程进行规范化管理，确保采购流程的合规性、公正性和透明度。这包括对公司资质的审核、产品信息的核实、采购合同的签订、订单的下发、物流配送的跟踪等各个环节进行标准化操作，减少人为干预，避免采购过程中的风险。</w:t>
            </w:r>
          </w:p>
          <w:p>
            <w:pPr>
              <w:pStyle w:val="null3"/>
              <w:ind w:left="705"/>
            </w:pPr>
            <w:r>
              <w:rPr>
                <w:rFonts w:ascii="仿宋_GB2312" w:hAnsi="仿宋_GB2312" w:cs="仿宋_GB2312" w:eastAsia="仿宋_GB2312"/>
                <w:sz w:val="21"/>
                <w:b/>
              </w:rPr>
              <w:t>4.1.2.</w:t>
            </w:r>
            <w:r>
              <w:rPr>
                <w:rFonts w:ascii="仿宋_GB2312" w:hAnsi="仿宋_GB2312" w:cs="仿宋_GB2312" w:eastAsia="仿宋_GB2312"/>
                <w:sz w:val="21"/>
                <w:b/>
              </w:rPr>
              <w:t>提高医院药品网采效率</w:t>
            </w:r>
          </w:p>
          <w:p>
            <w:pPr>
              <w:pStyle w:val="null3"/>
              <w:ind w:firstLine="420"/>
              <w:jc w:val="both"/>
            </w:pPr>
            <w:r>
              <w:rPr>
                <w:rFonts w:ascii="仿宋_GB2312" w:hAnsi="仿宋_GB2312" w:cs="仿宋_GB2312" w:eastAsia="仿宋_GB2312"/>
                <w:sz w:val="21"/>
              </w:rPr>
              <w:t>使用医院医保前置服务平台后，平台会根据省平台</w:t>
            </w:r>
            <w:r>
              <w:rPr>
                <w:rFonts w:ascii="仿宋_GB2312" w:hAnsi="仿宋_GB2312" w:cs="仿宋_GB2312" w:eastAsia="仿宋_GB2312"/>
                <w:sz w:val="21"/>
              </w:rPr>
              <w:t>“统一编码”、“统一价格”、“统一数量”的三统一要求进行院内入库数据的校验和匹配，定位到不满足三统一要求的数据，并提供省平台的数据依据，提前找出数据问题，提醒医院及时调整院内入库数据并上传省平台，从而提高网采效率。</w:t>
            </w:r>
          </w:p>
          <w:p>
            <w:pPr>
              <w:pStyle w:val="null3"/>
              <w:ind w:left="705"/>
            </w:pPr>
            <w:r>
              <w:rPr>
                <w:rFonts w:ascii="仿宋_GB2312" w:hAnsi="仿宋_GB2312" w:cs="仿宋_GB2312" w:eastAsia="仿宋_GB2312"/>
                <w:sz w:val="21"/>
                <w:b/>
              </w:rPr>
              <w:t>4.1.3.</w:t>
            </w:r>
            <w:r>
              <w:rPr>
                <w:rFonts w:ascii="仿宋_GB2312" w:hAnsi="仿宋_GB2312" w:cs="仿宋_GB2312" w:eastAsia="仿宋_GB2312"/>
                <w:sz w:val="21"/>
                <w:b/>
              </w:rPr>
              <w:t>院内目录及时维护</w:t>
            </w:r>
          </w:p>
          <w:p>
            <w:pPr>
              <w:pStyle w:val="null3"/>
              <w:ind w:firstLine="420"/>
              <w:jc w:val="both"/>
            </w:pPr>
            <w:r>
              <w:rPr>
                <w:rFonts w:ascii="仿宋_GB2312" w:hAnsi="仿宋_GB2312" w:cs="仿宋_GB2312" w:eastAsia="仿宋_GB2312"/>
                <w:sz w:val="21"/>
              </w:rPr>
              <w:t>使用医院医保前置服务平台后，平台会将省平台因撤网、调价等原因变动的省平台编码、价格、转换比、基药属性等信息第一时间推送给院内管理系统，从而对院内目录信息进行及时的更新和维护。</w:t>
            </w:r>
          </w:p>
          <w:p>
            <w:pPr>
              <w:pStyle w:val="null3"/>
              <w:ind w:left="705"/>
            </w:pPr>
            <w:r>
              <w:rPr>
                <w:rFonts w:ascii="仿宋_GB2312" w:hAnsi="仿宋_GB2312" w:cs="仿宋_GB2312" w:eastAsia="仿宋_GB2312"/>
                <w:sz w:val="21"/>
                <w:b/>
              </w:rPr>
              <w:t>4.1.4.</w:t>
            </w:r>
            <w:r>
              <w:rPr>
                <w:rFonts w:ascii="仿宋_GB2312" w:hAnsi="仿宋_GB2312" w:cs="仿宋_GB2312" w:eastAsia="仿宋_GB2312"/>
                <w:sz w:val="21"/>
                <w:b/>
              </w:rPr>
              <w:t>提高医院采购效率</w:t>
            </w:r>
          </w:p>
          <w:p>
            <w:pPr>
              <w:pStyle w:val="null3"/>
              <w:ind w:firstLine="420"/>
              <w:jc w:val="both"/>
            </w:pPr>
            <w:r>
              <w:rPr>
                <w:rFonts w:ascii="仿宋_GB2312" w:hAnsi="仿宋_GB2312" w:cs="仿宋_GB2312" w:eastAsia="仿宋_GB2312"/>
                <w:sz w:val="21"/>
              </w:rPr>
              <w:t>针对省平台对医院采购订单上传的要求，医院医保前置服务平台会将医院下发的采购订单提前校验，基础信息准确的药品或耗材通过平台自动上传，因信息错误而无法上传的耗材信息平台会及时提示给医院，依据省平台的要求修改并重新上传。在确认收货环节，医院医保前置服务平台会根据院内入库数据自动验收省平台上待确认验收的物资，从而提高医院采购效率，减轻采购人员工作负担。</w:t>
            </w:r>
          </w:p>
          <w:p>
            <w:pPr>
              <w:pStyle w:val="null3"/>
              <w:ind w:left="705"/>
            </w:pPr>
            <w:r>
              <w:rPr>
                <w:rFonts w:ascii="仿宋_GB2312" w:hAnsi="仿宋_GB2312" w:cs="仿宋_GB2312" w:eastAsia="仿宋_GB2312"/>
                <w:sz w:val="21"/>
                <w:b/>
              </w:rPr>
              <w:t>4.1.5.</w:t>
            </w:r>
            <w:r>
              <w:rPr>
                <w:rFonts w:ascii="仿宋_GB2312" w:hAnsi="仿宋_GB2312" w:cs="仿宋_GB2312" w:eastAsia="仿宋_GB2312"/>
                <w:sz w:val="21"/>
                <w:b/>
              </w:rPr>
              <w:t>提高入库数据准确性</w:t>
            </w:r>
          </w:p>
          <w:p>
            <w:pPr>
              <w:pStyle w:val="null3"/>
              <w:ind w:firstLine="420"/>
              <w:jc w:val="both"/>
            </w:pPr>
            <w:r>
              <w:rPr>
                <w:rFonts w:ascii="仿宋_GB2312" w:hAnsi="仿宋_GB2312" w:cs="仿宋_GB2312" w:eastAsia="仿宋_GB2312"/>
                <w:sz w:val="21"/>
              </w:rPr>
              <w:t>通过医院医保前置服务平台，打通医院与配送企业之间的信息交互壁垒，实现院内收货数据和配送企业发货数据的完全统一，围绕着</w:t>
            </w:r>
            <w:r>
              <w:rPr>
                <w:rFonts w:ascii="仿宋_GB2312" w:hAnsi="仿宋_GB2312" w:cs="仿宋_GB2312" w:eastAsia="仿宋_GB2312"/>
                <w:sz w:val="21"/>
              </w:rPr>
              <w:t>“省平台编码”、“价格”“数量”三个维度的要求，提高入库数据的准确性。</w:t>
            </w:r>
          </w:p>
          <w:p>
            <w:pPr>
              <w:pStyle w:val="null3"/>
              <w:ind w:left="570"/>
            </w:pPr>
            <w:r>
              <w:rPr>
                <w:rFonts w:ascii="仿宋_GB2312" w:hAnsi="仿宋_GB2312" w:cs="仿宋_GB2312" w:eastAsia="仿宋_GB2312"/>
                <w:sz w:val="21"/>
                <w:b/>
              </w:rPr>
              <w:t>4.2.</w:t>
            </w:r>
            <w:r>
              <w:rPr>
                <w:rFonts w:ascii="仿宋_GB2312" w:hAnsi="仿宋_GB2312" w:cs="仿宋_GB2312" w:eastAsia="仿宋_GB2312"/>
                <w:sz w:val="21"/>
                <w:b/>
              </w:rPr>
              <w:t>追溯码管理平台</w:t>
            </w:r>
          </w:p>
          <w:p>
            <w:pPr>
              <w:pStyle w:val="null3"/>
              <w:ind w:left="705"/>
            </w:pPr>
            <w:r>
              <w:rPr>
                <w:rFonts w:ascii="仿宋_GB2312" w:hAnsi="仿宋_GB2312" w:cs="仿宋_GB2312" w:eastAsia="仿宋_GB2312"/>
                <w:sz w:val="21"/>
                <w:b/>
              </w:rPr>
              <w:t>4.2.1.</w:t>
            </w:r>
            <w:r>
              <w:rPr>
                <w:rFonts w:ascii="仿宋_GB2312" w:hAnsi="仿宋_GB2312" w:cs="仿宋_GB2312" w:eastAsia="仿宋_GB2312"/>
                <w:sz w:val="21"/>
                <w:b/>
              </w:rPr>
              <w:t>提高医院追溯码采集效率</w:t>
            </w:r>
          </w:p>
          <w:p>
            <w:pPr>
              <w:pStyle w:val="null3"/>
              <w:ind w:firstLine="420"/>
              <w:jc w:val="both"/>
            </w:pPr>
            <w:r>
              <w:rPr>
                <w:rFonts w:ascii="仿宋_GB2312" w:hAnsi="仿宋_GB2312" w:cs="仿宋_GB2312" w:eastAsia="仿宋_GB2312"/>
                <w:sz w:val="21"/>
              </w:rPr>
              <w:t>追溯码管理平台通过与配送企业、第三方追溯码平台以及医保追溯码库进行对接，在医院院内入库环节与配送订单关联，实现快速批量扫描追溯码并解析出追溯码大小包装对应关系，自动上传至医保平台，减轻药库工作人员压力，并解决了后期财务与医保的自动对账问题。</w:t>
            </w:r>
          </w:p>
          <w:p>
            <w:pPr>
              <w:pStyle w:val="null3"/>
              <w:ind w:left="705"/>
            </w:pPr>
            <w:r>
              <w:rPr>
                <w:rFonts w:ascii="仿宋_GB2312" w:hAnsi="仿宋_GB2312" w:cs="仿宋_GB2312" w:eastAsia="仿宋_GB2312"/>
                <w:sz w:val="21"/>
                <w:b/>
              </w:rPr>
              <w:t>4.2.2.</w:t>
            </w:r>
            <w:r>
              <w:rPr>
                <w:rFonts w:ascii="仿宋_GB2312" w:hAnsi="仿宋_GB2312" w:cs="仿宋_GB2312" w:eastAsia="仿宋_GB2312"/>
                <w:sz w:val="21"/>
                <w:b/>
              </w:rPr>
              <w:t>实现入库药品的高效采集和智慧验证</w:t>
            </w:r>
          </w:p>
          <w:p>
            <w:pPr>
              <w:pStyle w:val="null3"/>
              <w:ind w:firstLine="420"/>
              <w:jc w:val="both"/>
            </w:pPr>
            <w:r>
              <w:rPr>
                <w:rFonts w:ascii="仿宋_GB2312" w:hAnsi="仿宋_GB2312" w:cs="仿宋_GB2312" w:eastAsia="仿宋_GB2312"/>
                <w:sz w:val="21"/>
              </w:rPr>
              <w:t>在医院采购环节，药库工作人员根据医院药品采购管理平台提示的药品近期消耗情况进行药品采购，药品到货后，通过对药品大箱上的物流码进行扫码，平台实现将追溯码的入库采集工作和省招采平台订单的采购、验收、入库结合起来，连接上相关的发票验真、发票要素搜集等功能。利用高拍仪和快扫设备，通过和码上放心等第三方平台的对接，自动完成采购订单、配送信息、入库信息、发票验真、追溯码（大小包装对应）等要素的关联绑定，一次性解决入库问题。极大的提高了工作效率，避免了人工核验差错的产生。</w:t>
            </w:r>
          </w:p>
          <w:p>
            <w:pPr>
              <w:pStyle w:val="null3"/>
              <w:ind w:left="705"/>
            </w:pPr>
            <w:r>
              <w:rPr>
                <w:rFonts w:ascii="仿宋_GB2312" w:hAnsi="仿宋_GB2312" w:cs="仿宋_GB2312" w:eastAsia="仿宋_GB2312"/>
                <w:sz w:val="21"/>
                <w:b/>
              </w:rPr>
              <w:t>4.2.3.</w:t>
            </w:r>
            <w:r>
              <w:rPr>
                <w:rFonts w:ascii="仿宋_GB2312" w:hAnsi="仿宋_GB2312" w:cs="仿宋_GB2312" w:eastAsia="仿宋_GB2312"/>
                <w:sz w:val="21"/>
                <w:b/>
              </w:rPr>
              <w:t>提高药品管理的精确性</w:t>
            </w:r>
          </w:p>
          <w:p>
            <w:pPr>
              <w:pStyle w:val="null3"/>
              <w:ind w:firstLine="420"/>
              <w:jc w:val="both"/>
            </w:pPr>
            <w:r>
              <w:rPr>
                <w:rFonts w:ascii="仿宋_GB2312" w:hAnsi="仿宋_GB2312" w:cs="仿宋_GB2312" w:eastAsia="仿宋_GB2312"/>
                <w:sz w:val="21"/>
              </w:rPr>
              <w:t>医院通过采集追溯码，使院内药品管理更为智能精确，监管部门可通过医院上传的追溯码信息全面掌握药品的流向并及时管控。药品追溯码采集记录了药品流转全过程，让每盒药的来源去向可追溯，打破了医保、医疗、医药领域的信息壁垒，使得药品数据要素高效整合与共享，赋能药品监管进入追溯新时代。有效预防并遏制医保药品二次销售、串换等问题，为参保患者用药安全，提供更加坚实有力的保障。</w:t>
            </w:r>
          </w:p>
          <w:p>
            <w:pPr>
              <w:pStyle w:val="null3"/>
              <w:ind w:left="705"/>
            </w:pPr>
            <w:r>
              <w:rPr>
                <w:rFonts w:ascii="仿宋_GB2312" w:hAnsi="仿宋_GB2312" w:cs="仿宋_GB2312" w:eastAsia="仿宋_GB2312"/>
                <w:sz w:val="21"/>
                <w:b/>
              </w:rPr>
              <w:t>4.2.4.</w:t>
            </w:r>
            <w:r>
              <w:rPr>
                <w:rFonts w:ascii="仿宋_GB2312" w:hAnsi="仿宋_GB2312" w:cs="仿宋_GB2312" w:eastAsia="仿宋_GB2312"/>
                <w:sz w:val="21"/>
                <w:b/>
              </w:rPr>
              <w:t>实现出库药品发药的准确性及追溯码的高效采集</w:t>
            </w:r>
          </w:p>
          <w:p>
            <w:pPr>
              <w:pStyle w:val="null3"/>
              <w:ind w:firstLine="420"/>
              <w:jc w:val="both"/>
            </w:pPr>
            <w:r>
              <w:rPr>
                <w:rFonts w:ascii="仿宋_GB2312" w:hAnsi="仿宋_GB2312" w:cs="仿宋_GB2312" w:eastAsia="仿宋_GB2312"/>
                <w:sz w:val="21"/>
              </w:rPr>
              <w:t>在医院药品的出库和发药阶段，通过高拍仪，实现出库环节中辅助药房人员快速完成追溯码扫码采集工作。在发药窗口一次性扫描患者领取的多个不同药品并且对药品的批号和效期等信息进行校验，确保药品信息的实时更新与同步，提升了药品流通环节的透明度。</w:t>
            </w:r>
          </w:p>
          <w:p>
            <w:pPr>
              <w:pStyle w:val="null3"/>
              <w:ind w:left="420"/>
            </w:pPr>
            <w:r>
              <w:rPr>
                <w:rFonts w:ascii="仿宋_GB2312" w:hAnsi="仿宋_GB2312" w:cs="仿宋_GB2312" w:eastAsia="仿宋_GB2312"/>
                <w:sz w:val="21"/>
                <w:b/>
              </w:rPr>
              <w:t>5.</w:t>
            </w:r>
            <w:r>
              <w:rPr>
                <w:rFonts w:ascii="仿宋_GB2312" w:hAnsi="仿宋_GB2312" w:cs="仿宋_GB2312" w:eastAsia="仿宋_GB2312"/>
                <w:sz w:val="21"/>
                <w:b/>
              </w:rPr>
              <w:t>医院现状</w:t>
            </w:r>
          </w:p>
          <w:p>
            <w:pPr>
              <w:pStyle w:val="null3"/>
              <w:ind w:firstLine="420"/>
              <w:jc w:val="left"/>
            </w:pPr>
            <w:r>
              <w:rPr>
                <w:rFonts w:ascii="仿宋_GB2312" w:hAnsi="仿宋_GB2312" w:cs="仿宋_GB2312" w:eastAsia="仿宋_GB2312"/>
                <w:sz w:val="21"/>
              </w:rPr>
              <w:t>院内现有信息化手段无法满足相关业务开展需求：</w:t>
            </w:r>
            <w:r>
              <w:rPr>
                <w:rFonts w:ascii="仿宋_GB2312" w:hAnsi="仿宋_GB2312" w:cs="仿宋_GB2312" w:eastAsia="仿宋_GB2312"/>
                <w:sz w:val="21"/>
              </w:rPr>
              <w:t>当前院内已拥有较为完善的临床信息系统</w:t>
            </w:r>
            <w:r>
              <w:rPr>
                <w:rFonts w:ascii="仿宋_GB2312" w:hAnsi="仿宋_GB2312" w:cs="仿宋_GB2312" w:eastAsia="仿宋_GB2312"/>
                <w:sz w:val="21"/>
              </w:rPr>
              <w:t>HIS（医院信息管理系统）、LIS/PACS等对院内临床业务进行全面信息化管理。医院通过信息化的建设，提升了医疗质量和医院管理，</w:t>
            </w:r>
            <w:r>
              <w:rPr>
                <w:rFonts w:ascii="仿宋_GB2312" w:hAnsi="仿宋_GB2312" w:cs="仿宋_GB2312" w:eastAsia="仿宋_GB2312"/>
                <w:sz w:val="21"/>
              </w:rPr>
              <w:t>提高</w:t>
            </w:r>
            <w:r>
              <w:rPr>
                <w:rFonts w:ascii="仿宋_GB2312" w:hAnsi="仿宋_GB2312" w:cs="仿宋_GB2312" w:eastAsia="仿宋_GB2312"/>
                <w:sz w:val="21"/>
              </w:rPr>
              <w:t>了医务人员整体工作效率，但是</w:t>
            </w:r>
            <w:r>
              <w:rPr>
                <w:rFonts w:ascii="仿宋_GB2312" w:hAnsi="仿宋_GB2312" w:cs="仿宋_GB2312" w:eastAsia="仿宋_GB2312"/>
                <w:sz w:val="21"/>
              </w:rPr>
              <w:t>目前医院药品采购流程的部分环节和省平台断层，存在过多人工手动操作的步骤，既降低了效率也提高了出错的概率。目前省平台部分接口未做对接，入库信息和配送信息不能及时对应上，同时院内入库信息上传时</w:t>
            </w:r>
            <w:r>
              <w:rPr>
                <w:rFonts w:ascii="仿宋_GB2312" w:hAnsi="仿宋_GB2312" w:cs="仿宋_GB2312" w:eastAsia="仿宋_GB2312"/>
                <w:sz w:val="21"/>
              </w:rPr>
              <w:t>HIS中的省平台编码、价格、转换比等基础数据存在不正确的情况。未入驻“码上放心”追溯平台，未与该平台进行数据对接。无法获取到各个包装的关联关系，未能实现在入库时扫大包装码就能自动获取最小包装码，未能实时获取药品的追溯信息，无法提高药品管理的透明度和安全性以及无法满足现有政策对医院的要求。药品追溯码分为三级，每级追溯码都需要进行采集和关联，在未实现自动化或智能化采集的情况下，医院药库</w:t>
            </w:r>
            <w:r>
              <w:rPr>
                <w:rFonts w:ascii="仿宋_GB2312" w:hAnsi="仿宋_GB2312" w:cs="仿宋_GB2312" w:eastAsia="仿宋_GB2312"/>
                <w:sz w:val="21"/>
              </w:rPr>
              <w:t>工作人员</w:t>
            </w:r>
            <w:r>
              <w:rPr>
                <w:rFonts w:ascii="仿宋_GB2312" w:hAnsi="仿宋_GB2312" w:cs="仿宋_GB2312" w:eastAsia="仿宋_GB2312"/>
                <w:sz w:val="21"/>
              </w:rPr>
              <w:t>需要手动拆开各级包装，对每个小包装的药品进行单独扫码，增加了大量的人工操作，增加了操作的复杂性和时间成本。</w:t>
            </w:r>
          </w:p>
          <w:p>
            <w:pPr>
              <w:pStyle w:val="null3"/>
              <w:ind w:left="420"/>
            </w:pPr>
            <w:r>
              <w:rPr>
                <w:rFonts w:ascii="仿宋_GB2312" w:hAnsi="仿宋_GB2312" w:cs="仿宋_GB2312" w:eastAsia="仿宋_GB2312"/>
                <w:sz w:val="21"/>
                <w:b/>
              </w:rPr>
              <w:t>6.</w:t>
            </w:r>
            <w:r>
              <w:rPr>
                <w:rFonts w:ascii="仿宋_GB2312" w:hAnsi="仿宋_GB2312" w:cs="仿宋_GB2312" w:eastAsia="仿宋_GB2312"/>
                <w:sz w:val="21"/>
                <w:b/>
              </w:rPr>
              <w:t>项目</w:t>
            </w:r>
            <w:r>
              <w:rPr>
                <w:rFonts w:ascii="仿宋_GB2312" w:hAnsi="仿宋_GB2312" w:cs="仿宋_GB2312" w:eastAsia="仿宋_GB2312"/>
                <w:sz w:val="21"/>
                <w:b/>
              </w:rPr>
              <w:t>软件功能要求</w:t>
            </w:r>
          </w:p>
          <w:p>
            <w:pPr>
              <w:pStyle w:val="null3"/>
              <w:ind w:left="420"/>
            </w:pPr>
            <w:r>
              <w:rPr>
                <w:rFonts w:ascii="仿宋_GB2312" w:hAnsi="仿宋_GB2312" w:cs="仿宋_GB2312" w:eastAsia="仿宋_GB2312"/>
                <w:sz w:val="21"/>
                <w:b/>
              </w:rPr>
              <w:t>6.1软件功能基本要求</w:t>
            </w:r>
          </w:p>
          <w:tbl>
            <w:tblPr>
              <w:tblInd w:type="dxa" w:w="135"/>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511"/>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分类</w:t>
                  </w:r>
                </w:p>
              </w:tc>
              <w:tc>
                <w:tcPr>
                  <w:tcW w:type="dxa" w:w="511"/>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功能模块</w:t>
                  </w:r>
                </w:p>
              </w:tc>
              <w:tc>
                <w:tcPr>
                  <w:tcW w:type="dxa" w:w="511"/>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模块名称</w:t>
                  </w:r>
                </w:p>
              </w:tc>
              <w:tc>
                <w:tcPr>
                  <w:tcW w:type="dxa" w:w="511"/>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功能描述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省招采平台对接模块</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省招采平台接口</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省级目录下载</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与省招采平台接口开放后进行对接，招采前置服务系统部署在医院内部服务器，及时获取药品目录的更新数据，以及订单上传，配送明细下载，以及验收确认等功能。系统和数据服务均部署在医院内网，符合医院等保要求。</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院内目录下载</w:t>
                  </w:r>
                </w:p>
              </w:tc>
              <w:tc>
                <w:tcPr>
                  <w:tcW w:type="dxa" w:w="511"/>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订单上传</w:t>
                  </w:r>
                </w:p>
              </w:tc>
              <w:tc>
                <w:tcPr>
                  <w:tcW w:type="dxa" w:w="511"/>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配送下载</w:t>
                  </w:r>
                </w:p>
              </w:tc>
              <w:tc>
                <w:tcPr>
                  <w:tcW w:type="dxa" w:w="511"/>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收货确认</w:t>
                  </w:r>
                </w:p>
              </w:tc>
              <w:tc>
                <w:tcPr>
                  <w:tcW w:type="dxa" w:w="511"/>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院内</w:t>
                  </w:r>
                  <w:r>
                    <w:rPr>
                      <w:rFonts w:ascii="仿宋_GB2312" w:hAnsi="仿宋_GB2312" w:cs="仿宋_GB2312" w:eastAsia="仿宋_GB2312"/>
                      <w:sz w:val="21"/>
                    </w:rPr>
                    <w:t>HIS/SPD接口</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HIS药品目录获取</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招采前置服务系统与院内</w:t>
                  </w:r>
                  <w:r>
                    <w:rPr>
                      <w:rFonts w:ascii="仿宋_GB2312" w:hAnsi="仿宋_GB2312" w:cs="仿宋_GB2312" w:eastAsia="仿宋_GB2312"/>
                      <w:sz w:val="21"/>
                    </w:rPr>
                    <w:t>HIS/SPD端对接接口，HIS/SPD通过前置服务系统与省医保招采平台开放后进行对接，可以减少对接接口数量，以及更好适应省招采平台的更新。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省招采平台院内目录下发</w:t>
                  </w:r>
                </w:p>
              </w:tc>
              <w:tc>
                <w:tcPr>
                  <w:tcW w:type="dxa" w:w="511"/>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院内采购上传</w:t>
                  </w:r>
                </w:p>
              </w:tc>
              <w:tc>
                <w:tcPr>
                  <w:tcW w:type="dxa" w:w="511"/>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收货数据下发</w:t>
                  </w:r>
                </w:p>
              </w:tc>
              <w:tc>
                <w:tcPr>
                  <w:tcW w:type="dxa" w:w="511"/>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招采前置服务业务模块</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药品目录管理</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院内目录</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同步医院的省招采平台常用目录信息，支持定时、手动同步</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院内外目录校验提醒</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省招采平台医院常用目录与院内</w:t>
                  </w:r>
                  <w:r>
                    <w:rPr>
                      <w:rFonts w:ascii="仿宋_GB2312" w:hAnsi="仿宋_GB2312" w:cs="仿宋_GB2312" w:eastAsia="仿宋_GB2312"/>
                      <w:sz w:val="21"/>
                    </w:rPr>
                    <w:t>his目录匹配，关键匹配数据有批准文号、省标代码、医保代码、采购价格、包装数量、配送企业等，不匹配数据进行预警提醒。可根据医院管理需要进行调整</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配送关系管理</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配送关系下载、收货地址下载、配送企业目录管理</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招采业务对接</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订单上传</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院内采购订单上传省招采平台，主数据有药品名称、采购数量、配送企业、配送地址等。支持前置平台建单、提交订单、上传订单</w:t>
                  </w:r>
                  <w:r>
                    <w:rPr>
                      <w:rFonts w:ascii="仿宋_GB2312" w:hAnsi="仿宋_GB2312" w:cs="仿宋_GB2312" w:eastAsia="仿宋_GB2312"/>
                      <w:sz w:val="21"/>
                    </w:rPr>
                    <w:t>等</w:t>
                  </w:r>
                  <w:r>
                    <w:rPr>
                      <w:rFonts w:ascii="仿宋_GB2312" w:hAnsi="仿宋_GB2312" w:cs="仿宋_GB2312" w:eastAsia="仿宋_GB2312"/>
                      <w:sz w:val="21"/>
                    </w:rPr>
                    <w:t>业务模式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配送下载</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省招采平台发货信息下载，主数据有发货企业、发货数量、批号、效期、发票号等</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收货单生成</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根据省招采平台的配送明细，生成收货单</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收货确认</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根据药品的发货信息，药品确认收货工作后，</w:t>
                  </w:r>
                  <w:r>
                    <w:rPr>
                      <w:rFonts w:ascii="仿宋_GB2312" w:hAnsi="仿宋_GB2312" w:cs="仿宋_GB2312" w:eastAsia="仿宋_GB2312"/>
                      <w:sz w:val="21"/>
                    </w:rPr>
                    <w:t>能够</w:t>
                  </w:r>
                  <w:r>
                    <w:rPr>
                      <w:rFonts w:ascii="仿宋_GB2312" w:hAnsi="仿宋_GB2312" w:cs="仿宋_GB2312" w:eastAsia="仿宋_GB2312"/>
                      <w:sz w:val="21"/>
                    </w:rPr>
                    <w:t>进行收货数据省招采平台自动回传</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基础报表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药品采购统计查询</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追溯码应用模块</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药品追溯码管理</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采购入库采集</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药品采购入库业务的溯源码扫码、数据采集、解析、转化、存储</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追溯码大小包装解析</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对药品大、中、小包装的追溯码关系解析获取</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追溯码信息获取</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按照追溯码获取药品的信息，包括通用名、商品名、批准文号、规格型号、包装、效期</w:t>
                  </w:r>
                  <w:r>
                    <w:rPr>
                      <w:rFonts w:ascii="仿宋_GB2312" w:hAnsi="仿宋_GB2312" w:cs="仿宋_GB2312" w:eastAsia="仿宋_GB2312"/>
                      <w:sz w:val="21"/>
                    </w:rPr>
                    <w:t>等</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省追溯码库连接</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链接省医保招采追溯码库进行追溯码的解析</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“码上放心”追溯码库连接解析</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链接阿里健康</w:t>
                  </w:r>
                  <w:r>
                    <w:rPr>
                      <w:rFonts w:ascii="仿宋_GB2312" w:hAnsi="仿宋_GB2312" w:cs="仿宋_GB2312" w:eastAsia="仿宋_GB2312"/>
                      <w:sz w:val="21"/>
                    </w:rPr>
                    <w:t>“</w:t>
                  </w:r>
                  <w:r>
                    <w:rPr>
                      <w:rFonts w:ascii="仿宋_GB2312" w:hAnsi="仿宋_GB2312" w:cs="仿宋_GB2312" w:eastAsia="仿宋_GB2312"/>
                      <w:sz w:val="21"/>
                    </w:rPr>
                    <w:t>码上放心</w:t>
                  </w:r>
                  <w:r>
                    <w:rPr>
                      <w:rFonts w:ascii="仿宋_GB2312" w:hAnsi="仿宋_GB2312" w:cs="仿宋_GB2312" w:eastAsia="仿宋_GB2312"/>
                      <w:sz w:val="21"/>
                    </w:rPr>
                    <w:t>”</w:t>
                  </w:r>
                  <w:r>
                    <w:rPr>
                      <w:rFonts w:ascii="仿宋_GB2312" w:hAnsi="仿宋_GB2312" w:cs="仿宋_GB2312" w:eastAsia="仿宋_GB2312"/>
                      <w:sz w:val="21"/>
                    </w:rPr>
                    <w:t>追溯码库进行追溯码的解析</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院内追溯码信息库</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在院内形成验收入库后的追溯码信息库，将入库信息和追溯码对应，供发药和消耗核销</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HIS接口</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提供院内追溯码库与</w:t>
                  </w:r>
                  <w:r>
                    <w:rPr>
                      <w:rFonts w:ascii="仿宋_GB2312" w:hAnsi="仿宋_GB2312" w:cs="仿宋_GB2312" w:eastAsia="仿宋_GB2312"/>
                      <w:sz w:val="21"/>
                    </w:rPr>
                    <w:t>HIS的接口</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配送企业追溯码对接</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提供配送企业追溯码对接，方便配送企业将追溯码信息传递至医院，方便医院直接保存追溯码</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数据上传准备</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生成追溯码记录表，供</w:t>
                  </w:r>
                  <w:r>
                    <w:rPr>
                      <w:rFonts w:ascii="仿宋_GB2312" w:hAnsi="仿宋_GB2312" w:cs="仿宋_GB2312" w:eastAsia="仿宋_GB2312"/>
                      <w:sz w:val="21"/>
                    </w:rPr>
                    <w:t>HIS上传医保两定接口</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门诊发药采集</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处方发药，利用高拍仪批量快速采集追溯码</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住院带药发药采集</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医嘱发药，利用高拍仪批量快速采集追溯码</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退药</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药品退药，追溯码采集、存储、标记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退货</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药品退货，追溯码采集、存储、标记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追溯码获取接口</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医保追溯码库接口</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对接医保追溯码库（</w:t>
                  </w:r>
                  <w:r>
                    <w:rPr>
                      <w:rFonts w:ascii="仿宋_GB2312" w:hAnsi="仿宋_GB2312" w:cs="仿宋_GB2312" w:eastAsia="仿宋_GB2312"/>
                      <w:sz w:val="21"/>
                    </w:rPr>
                    <w:t>按照</w:t>
                  </w:r>
                  <w:r>
                    <w:rPr>
                      <w:rFonts w:ascii="仿宋_GB2312" w:hAnsi="仿宋_GB2312" w:cs="仿宋_GB2312" w:eastAsia="仿宋_GB2312"/>
                      <w:sz w:val="21"/>
                    </w:rPr>
                    <w:t>省医保追溯码库开发时间</w:t>
                  </w:r>
                  <w:r>
                    <w:rPr>
                      <w:rFonts w:ascii="仿宋_GB2312" w:hAnsi="仿宋_GB2312" w:cs="仿宋_GB2312" w:eastAsia="仿宋_GB2312"/>
                      <w:sz w:val="21"/>
                    </w:rPr>
                    <w:t>要求</w:t>
                  </w:r>
                  <w:r>
                    <w:rPr>
                      <w:rFonts w:ascii="仿宋_GB2312" w:hAnsi="仿宋_GB2312" w:cs="仿宋_GB2312" w:eastAsia="仿宋_GB2312"/>
                      <w:sz w:val="21"/>
                    </w:rPr>
                    <w:t>）</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第三方追溯码平台接口</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对接</w:t>
                  </w:r>
                  <w:r>
                    <w:rPr>
                      <w:rFonts w:ascii="仿宋_GB2312" w:hAnsi="仿宋_GB2312" w:cs="仿宋_GB2312" w:eastAsia="仿宋_GB2312"/>
                      <w:sz w:val="21"/>
                    </w:rPr>
                    <w:t>“码上放心”和其他第三方追溯码平台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云码平台</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配送企业和医院追溯码中转</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追溯码传输中转</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作为企业和配送企业传输追溯码的中转</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医院下载追溯码接口</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医院下载云码平台配送企业上传的追溯码</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配送企业追溯码上传接口</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配送企业在出库时将追溯码上传</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PDA扫码验收模块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配送企业端</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发货管理</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配送企业登录前置服务系统，进行药品的装箱条码打印，并进行箱规贴码工作</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医院端</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PDA</w:t>
                  </w:r>
                  <w:r>
                    <w:rPr>
                      <w:rFonts w:ascii="仿宋_GB2312" w:hAnsi="仿宋_GB2312" w:cs="仿宋_GB2312" w:eastAsia="仿宋_GB2312"/>
                      <w:sz w:val="21"/>
                    </w:rPr>
                    <w:t>扫码</w:t>
                  </w:r>
                  <w:r>
                    <w:rPr>
                      <w:rFonts w:ascii="仿宋_GB2312" w:hAnsi="仿宋_GB2312" w:cs="仿宋_GB2312" w:eastAsia="仿宋_GB2312"/>
                      <w:sz w:val="21"/>
                    </w:rPr>
                    <w:t>收货</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医院收货人员登录</w:t>
                  </w:r>
                  <w:r>
                    <w:rPr>
                      <w:rFonts w:ascii="仿宋_GB2312" w:hAnsi="仿宋_GB2312" w:cs="仿宋_GB2312" w:eastAsia="仿宋_GB2312"/>
                      <w:sz w:val="21"/>
                    </w:rPr>
                    <w:t>PDA。进行药品PDA扫码验收收货工作</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PDA扫</w:t>
                  </w:r>
                  <w:r>
                    <w:rPr>
                      <w:rFonts w:ascii="仿宋_GB2312" w:hAnsi="仿宋_GB2312" w:cs="仿宋_GB2312" w:eastAsia="仿宋_GB2312"/>
                      <w:sz w:val="21"/>
                    </w:rPr>
                    <w:t>码</w:t>
                  </w:r>
                  <w:r>
                    <w:rPr>
                      <w:rFonts w:ascii="仿宋_GB2312" w:hAnsi="仿宋_GB2312" w:cs="仿宋_GB2312" w:eastAsia="仿宋_GB2312"/>
                      <w:sz w:val="21"/>
                    </w:rPr>
                    <w:t>追溯</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医院收货人员登录</w:t>
                  </w:r>
                  <w:r>
                    <w:rPr>
                      <w:rFonts w:ascii="仿宋_GB2312" w:hAnsi="仿宋_GB2312" w:cs="仿宋_GB2312" w:eastAsia="仿宋_GB2312"/>
                      <w:sz w:val="21"/>
                    </w:rPr>
                    <w:t>PDA，进行药品追溯码扫码收货工作</w:t>
                  </w:r>
                </w:p>
                <w:p>
                  <w:pPr>
                    <w:pStyle w:val="null3"/>
                    <w:jc w:val="both"/>
                  </w:p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基础设置</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权限管理</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机构管理</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支持创建、修改、删除人员，以及对人员角色的创建、修改、删除，以实现对用户的身份、角色、权限等信息的管理和控制</w:t>
                  </w:r>
                  <w:r>
                    <w:rPr>
                      <w:rFonts w:ascii="仿宋_GB2312" w:hAnsi="仿宋_GB2312" w:cs="仿宋_GB2312" w:eastAsia="仿宋_GB2312"/>
                      <w:sz w:val="21"/>
                    </w:rPr>
                    <w:t>，</w:t>
                  </w:r>
                  <w:r>
                    <w:rPr>
                      <w:rFonts w:ascii="仿宋_GB2312" w:hAnsi="仿宋_GB2312" w:cs="仿宋_GB2312" w:eastAsia="仿宋_GB2312"/>
                      <w:sz w:val="21"/>
                    </w:rPr>
                    <w:t>医院内部人员编码与院内统一数据字典一致并同步更新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人员管理</w:t>
                  </w:r>
                </w:p>
              </w:tc>
              <w:tc>
                <w:tcPr>
                  <w:tcW w:type="dxa" w:w="511"/>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角色管理</w:t>
                  </w:r>
                </w:p>
              </w:tc>
              <w:tc>
                <w:tcPr>
                  <w:tcW w:type="dxa" w:w="511"/>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权限管理</w:t>
                  </w:r>
                </w:p>
              </w:tc>
              <w:tc>
                <w:tcPr>
                  <w:tcW w:type="dxa" w:w="511"/>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码上放心</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码上放心年服务费</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年服务费</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入驻阿里健康码上放心平台，增加追溯码解析质量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流程再造</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流程再造</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流程梳理再造</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协助医院设计药品采购、配送、验收、追溯码的流程优化设计和梳理，制定新的流程</w:t>
                  </w:r>
                </w:p>
              </w:tc>
            </w:tr>
          </w:tbl>
          <w:p>
            <w:pPr>
              <w:pStyle w:val="null3"/>
            </w:pPr>
            <w:r>
              <w:rPr>
                <w:rFonts w:ascii="仿宋_GB2312" w:hAnsi="仿宋_GB2312" w:cs="仿宋_GB2312" w:eastAsia="仿宋_GB2312"/>
                <w:sz w:val="21"/>
                <w:b/>
              </w:rPr>
              <w:t>6.2.</w:t>
            </w:r>
            <w:r>
              <w:rPr>
                <w:rFonts w:ascii="仿宋_GB2312" w:hAnsi="仿宋_GB2312" w:cs="仿宋_GB2312" w:eastAsia="仿宋_GB2312"/>
                <w:sz w:val="21"/>
                <w:b/>
              </w:rPr>
              <w:t>药品招采前置服务平台</w:t>
            </w:r>
            <w:r>
              <w:rPr>
                <w:rFonts w:ascii="仿宋_GB2312" w:hAnsi="仿宋_GB2312" w:cs="仿宋_GB2312" w:eastAsia="仿宋_GB2312"/>
                <w:sz w:val="21"/>
                <w:b/>
              </w:rPr>
              <w:t>功能及流程处理详细要求</w:t>
            </w:r>
          </w:p>
          <w:p>
            <w:pPr>
              <w:pStyle w:val="null3"/>
              <w:ind w:left="705"/>
            </w:pPr>
            <w:r>
              <w:rPr>
                <w:rFonts w:ascii="仿宋_GB2312" w:hAnsi="仿宋_GB2312" w:cs="仿宋_GB2312" w:eastAsia="仿宋_GB2312"/>
                <w:sz w:val="21"/>
                <w:b/>
              </w:rPr>
              <w:t>6.2.1.</w:t>
            </w:r>
            <w:r>
              <w:rPr>
                <w:rFonts w:ascii="仿宋_GB2312" w:hAnsi="仿宋_GB2312" w:cs="仿宋_GB2312" w:eastAsia="仿宋_GB2312"/>
                <w:sz w:val="21"/>
                <w:b/>
              </w:rPr>
              <w:t>药品采购流程重新设计</w:t>
            </w:r>
          </w:p>
          <w:p>
            <w:pPr>
              <w:pStyle w:val="null3"/>
              <w:ind w:firstLine="420"/>
              <w:jc w:val="both"/>
            </w:pPr>
            <w:r>
              <w:rPr>
                <w:rFonts w:ascii="仿宋_GB2312" w:hAnsi="仿宋_GB2312" w:cs="仿宋_GB2312" w:eastAsia="仿宋_GB2312"/>
                <w:sz w:val="21"/>
              </w:rPr>
              <w:t>招采服务前置平台</w:t>
            </w:r>
            <w:r>
              <w:rPr>
                <w:rFonts w:ascii="仿宋_GB2312" w:hAnsi="仿宋_GB2312" w:cs="仿宋_GB2312" w:eastAsia="仿宋_GB2312"/>
                <w:sz w:val="21"/>
              </w:rPr>
              <w:t>对接</w:t>
            </w:r>
            <w:r>
              <w:rPr>
                <w:rFonts w:ascii="仿宋_GB2312" w:hAnsi="仿宋_GB2312" w:cs="仿宋_GB2312" w:eastAsia="仿宋_GB2312"/>
                <w:sz w:val="21"/>
              </w:rPr>
              <w:t>HIS获取院内目录，首先对院内目录进行初步校验，并将数据匹配结果返回HIS目录，避免省平台编码、价格、转换比等数据的错误；医院调用前置平台接口，提交采购计划单，支持在前置服务平台内下单，平台自动将采购订单上传至省平台；前置服务平台自动获取配送企业在省平台上回填的配送信息，并通过接口回传给HIS，HIS根据配送信息进行收货入库；入库完毕后HIS调用前置平台接口，将入库数据传给前置服务平台进行事前匹配校验，院内修改入库数据后，将匹配成功的院内入库数据自动上传至省平台。</w:t>
            </w:r>
          </w:p>
          <w:p>
            <w:pPr>
              <w:pStyle w:val="null3"/>
              <w:ind w:left="705"/>
            </w:pPr>
            <w:r>
              <w:rPr>
                <w:rFonts w:ascii="仿宋_GB2312" w:hAnsi="仿宋_GB2312" w:cs="仿宋_GB2312" w:eastAsia="仿宋_GB2312"/>
                <w:sz w:val="21"/>
                <w:b/>
              </w:rPr>
              <w:t>6.2.2.</w:t>
            </w:r>
            <w:r>
              <w:rPr>
                <w:rFonts w:ascii="仿宋_GB2312" w:hAnsi="仿宋_GB2312" w:cs="仿宋_GB2312" w:eastAsia="仿宋_GB2312"/>
                <w:sz w:val="21"/>
                <w:b/>
              </w:rPr>
              <w:t>阳采平台验收单和</w:t>
            </w:r>
            <w:r>
              <w:rPr>
                <w:rFonts w:ascii="仿宋_GB2312" w:hAnsi="仿宋_GB2312" w:cs="仿宋_GB2312" w:eastAsia="仿宋_GB2312"/>
                <w:sz w:val="21"/>
                <w:b/>
              </w:rPr>
              <w:t>HIS入库单信息自动比对功能</w:t>
            </w:r>
          </w:p>
          <w:p>
            <w:pPr>
              <w:pStyle w:val="null3"/>
              <w:ind w:firstLine="420"/>
              <w:jc w:val="both"/>
            </w:pPr>
            <w:r>
              <w:rPr>
                <w:rFonts w:ascii="仿宋_GB2312" w:hAnsi="仿宋_GB2312" w:cs="仿宋_GB2312" w:eastAsia="仿宋_GB2312"/>
                <w:sz w:val="21"/>
              </w:rPr>
              <w:t>能够实现对医院入库数据上传网采接口时的自动比对功能。发现有与省招采平台不一致的数据时自动提醒，针对采购价格、省标代码、批准文号等基础数据进行标准化和数据比对。</w:t>
            </w:r>
          </w:p>
          <w:p>
            <w:pPr>
              <w:pStyle w:val="null3"/>
              <w:ind w:left="705"/>
            </w:pPr>
            <w:r>
              <w:rPr>
                <w:rFonts w:ascii="仿宋_GB2312" w:hAnsi="仿宋_GB2312" w:cs="仿宋_GB2312" w:eastAsia="仿宋_GB2312"/>
                <w:sz w:val="21"/>
                <w:b/>
              </w:rPr>
              <w:t>6.2.3.</w:t>
            </w:r>
            <w:r>
              <w:rPr>
                <w:rFonts w:ascii="仿宋_GB2312" w:hAnsi="仿宋_GB2312" w:cs="仿宋_GB2312" w:eastAsia="仿宋_GB2312"/>
                <w:sz w:val="21"/>
                <w:b/>
              </w:rPr>
              <w:t>基础数据更新功能</w:t>
            </w:r>
          </w:p>
          <w:p>
            <w:pPr>
              <w:pStyle w:val="null3"/>
              <w:ind w:firstLine="420"/>
              <w:jc w:val="both"/>
            </w:pPr>
            <w:r>
              <w:rPr>
                <w:rFonts w:ascii="仿宋_GB2312" w:hAnsi="仿宋_GB2312" w:cs="仿宋_GB2312" w:eastAsia="仿宋_GB2312"/>
                <w:sz w:val="21"/>
              </w:rPr>
              <w:t>实现招采平台系统和</w:t>
            </w:r>
            <w:r>
              <w:rPr>
                <w:rFonts w:ascii="仿宋_GB2312" w:hAnsi="仿宋_GB2312" w:cs="仿宋_GB2312" w:eastAsia="仿宋_GB2312"/>
                <w:sz w:val="21"/>
              </w:rPr>
              <w:t>HIS 系统之间基础数据的实时更新，确保医疗机构能够及时获取最新的价格变动、省标代码变动等信息。</w:t>
            </w:r>
          </w:p>
          <w:p>
            <w:pPr>
              <w:pStyle w:val="null3"/>
              <w:ind w:firstLine="420"/>
              <w:jc w:val="both"/>
            </w:pPr>
            <w:r>
              <w:rPr>
                <w:rFonts w:ascii="仿宋_GB2312" w:hAnsi="仿宋_GB2312" w:cs="仿宋_GB2312" w:eastAsia="仿宋_GB2312"/>
                <w:sz w:val="21"/>
              </w:rPr>
              <w:t>每晚定时前置服务平台自动对比</w:t>
            </w:r>
            <w:r>
              <w:rPr>
                <w:rFonts w:ascii="仿宋_GB2312" w:hAnsi="仿宋_GB2312" w:cs="仿宋_GB2312" w:eastAsia="仿宋_GB2312"/>
                <w:sz w:val="21"/>
              </w:rPr>
              <w:t>HIS 系统与阳采平台上在用药品基础信息数据，并生成提醒报告。</w:t>
            </w:r>
          </w:p>
          <w:p>
            <w:pPr>
              <w:pStyle w:val="null3"/>
              <w:ind w:left="570"/>
            </w:pPr>
            <w:r>
              <w:rPr>
                <w:rFonts w:ascii="仿宋_GB2312" w:hAnsi="仿宋_GB2312" w:cs="仿宋_GB2312" w:eastAsia="仿宋_GB2312"/>
                <w:sz w:val="21"/>
                <w:b/>
              </w:rPr>
              <w:t>6.3追溯码应用模块入库</w:t>
            </w:r>
            <w:r>
              <w:rPr>
                <w:rFonts w:ascii="仿宋_GB2312" w:hAnsi="仿宋_GB2312" w:cs="仿宋_GB2312" w:eastAsia="仿宋_GB2312"/>
                <w:sz w:val="21"/>
                <w:b/>
              </w:rPr>
              <w:t>功能及流程处理详细要求</w:t>
            </w:r>
          </w:p>
          <w:p>
            <w:pPr>
              <w:pStyle w:val="null3"/>
              <w:ind w:left="705"/>
            </w:pPr>
            <w:r>
              <w:rPr>
                <w:rFonts w:ascii="仿宋_GB2312" w:hAnsi="仿宋_GB2312" w:cs="仿宋_GB2312" w:eastAsia="仿宋_GB2312"/>
                <w:sz w:val="21"/>
                <w:b/>
              </w:rPr>
              <w:t>6.3.1.</w:t>
            </w:r>
            <w:r>
              <w:rPr>
                <w:rFonts w:ascii="仿宋_GB2312" w:hAnsi="仿宋_GB2312" w:cs="仿宋_GB2312" w:eastAsia="仿宋_GB2312"/>
                <w:sz w:val="21"/>
                <w:b/>
              </w:rPr>
              <w:t>与配送企业进行入库端追溯码的对接</w:t>
            </w:r>
          </w:p>
          <w:p>
            <w:pPr>
              <w:pStyle w:val="null3"/>
              <w:ind w:firstLine="420"/>
              <w:jc w:val="both"/>
            </w:pPr>
            <w:r>
              <w:rPr>
                <w:rFonts w:ascii="仿宋_GB2312" w:hAnsi="仿宋_GB2312" w:cs="仿宋_GB2312" w:eastAsia="仿宋_GB2312"/>
                <w:sz w:val="21"/>
              </w:rPr>
              <w:t>配送企业将药品送至医院前，将配送药品的追溯码进行采集上报；上报追溯码形态有大中小三种形态，无需解析；配送企业在云码平台进行注册；云码平台发放配送企业对接授权；配送企业对接云码平台，上报药品追溯码。</w:t>
            </w:r>
          </w:p>
          <w:p>
            <w:pPr>
              <w:pStyle w:val="null3"/>
              <w:ind w:left="705"/>
            </w:pPr>
            <w:r>
              <w:rPr>
                <w:rFonts w:ascii="仿宋_GB2312" w:hAnsi="仿宋_GB2312" w:cs="仿宋_GB2312" w:eastAsia="仿宋_GB2312"/>
                <w:sz w:val="21"/>
                <w:b/>
              </w:rPr>
              <w:t>6.3.2.</w:t>
            </w:r>
            <w:r>
              <w:rPr>
                <w:rFonts w:ascii="仿宋_GB2312" w:hAnsi="仿宋_GB2312" w:cs="仿宋_GB2312" w:eastAsia="仿宋_GB2312"/>
                <w:sz w:val="21"/>
                <w:b/>
              </w:rPr>
              <w:t>配送信息与追溯码信息关联</w:t>
            </w:r>
          </w:p>
          <w:p>
            <w:pPr>
              <w:pStyle w:val="null3"/>
              <w:ind w:firstLine="420"/>
              <w:jc w:val="both"/>
            </w:pPr>
            <w:r>
              <w:rPr>
                <w:rFonts w:ascii="仿宋_GB2312" w:hAnsi="仿宋_GB2312" w:cs="仿宋_GB2312" w:eastAsia="仿宋_GB2312"/>
                <w:sz w:val="21"/>
              </w:rPr>
              <w:t>通过与配送企业端进行对接，配送企业将配送订单上传的同时将药品追溯码一并上传，医院药库工作人员通过对药品大箱上的物流码进行扫码，实现将追溯码的入库采集工作和省招采平台订单的采购、验收、入库结合起来，连接上相关的发票验真、发票要素搜集等功能。利用高拍仪和快扫设备，通过和码上放心及云码平台进行对接，自动完成采购订单、配送信息、入库信息、发票验真、追溯码（大小包装对应）等要素的关联绑定，一次性解决入库问题。</w:t>
            </w:r>
          </w:p>
          <w:p>
            <w:pPr>
              <w:pStyle w:val="null3"/>
              <w:ind w:left="705"/>
            </w:pPr>
            <w:r>
              <w:rPr>
                <w:rFonts w:ascii="仿宋_GB2312" w:hAnsi="仿宋_GB2312" w:cs="仿宋_GB2312" w:eastAsia="仿宋_GB2312"/>
                <w:sz w:val="21"/>
                <w:b/>
              </w:rPr>
              <w:t>6.3.3.</w:t>
            </w:r>
            <w:r>
              <w:rPr>
                <w:rFonts w:ascii="仿宋_GB2312" w:hAnsi="仿宋_GB2312" w:cs="仿宋_GB2312" w:eastAsia="仿宋_GB2312"/>
                <w:sz w:val="21"/>
                <w:b/>
              </w:rPr>
              <w:t>追溯码大中小包装解析</w:t>
            </w:r>
          </w:p>
          <w:p>
            <w:pPr>
              <w:pStyle w:val="null3"/>
              <w:ind w:firstLine="420"/>
              <w:jc w:val="both"/>
            </w:pPr>
            <w:r>
              <w:rPr>
                <w:rFonts w:ascii="仿宋_GB2312" w:hAnsi="仿宋_GB2312" w:cs="仿宋_GB2312" w:eastAsia="仿宋_GB2312"/>
                <w:sz w:val="21"/>
              </w:rPr>
              <w:t>通过与配送企业端进行对接，可以获取到追溯码的大中小包装的对应关联关系。医院药库</w:t>
            </w:r>
            <w:r>
              <w:rPr>
                <w:rFonts w:ascii="仿宋_GB2312" w:hAnsi="仿宋_GB2312" w:cs="仿宋_GB2312" w:eastAsia="仿宋_GB2312"/>
                <w:sz w:val="21"/>
              </w:rPr>
              <w:t>工作人员</w:t>
            </w:r>
            <w:r>
              <w:rPr>
                <w:rFonts w:ascii="仿宋_GB2312" w:hAnsi="仿宋_GB2312" w:cs="仿宋_GB2312" w:eastAsia="仿宋_GB2312"/>
                <w:sz w:val="21"/>
              </w:rPr>
              <w:t>使用安装好追溯码采集程序的</w:t>
            </w:r>
            <w:r>
              <w:rPr>
                <w:rFonts w:ascii="仿宋_GB2312" w:hAnsi="仿宋_GB2312" w:cs="仿宋_GB2312" w:eastAsia="仿宋_GB2312"/>
                <w:sz w:val="21"/>
              </w:rPr>
              <w:t>PDA进行整件追溯码的入库采集，支持根据追溯码关联配送企业。对于散件的药品，采用高拍仪配合PC端采集程序进行采集。采集结束后追溯码自动上传至院内入库端追溯码采集库，便于医院上传至医保局要求上传的医疗保障信息平台。</w:t>
            </w:r>
          </w:p>
          <w:p>
            <w:pPr>
              <w:pStyle w:val="null3"/>
              <w:ind w:left="705"/>
            </w:pPr>
            <w:r>
              <w:rPr>
                <w:rFonts w:ascii="仿宋_GB2312" w:hAnsi="仿宋_GB2312" w:cs="仿宋_GB2312" w:eastAsia="仿宋_GB2312"/>
                <w:sz w:val="21"/>
                <w:b/>
              </w:rPr>
              <w:t>6.3.4.</w:t>
            </w:r>
            <w:r>
              <w:rPr>
                <w:rFonts w:ascii="仿宋_GB2312" w:hAnsi="仿宋_GB2312" w:cs="仿宋_GB2312" w:eastAsia="仿宋_GB2312"/>
                <w:sz w:val="21"/>
                <w:b/>
              </w:rPr>
              <w:t>院内入库端追溯码信息库</w:t>
            </w:r>
          </w:p>
          <w:p>
            <w:pPr>
              <w:pStyle w:val="null3"/>
              <w:ind w:firstLine="420"/>
              <w:jc w:val="both"/>
            </w:pPr>
            <w:r>
              <w:rPr>
                <w:rFonts w:ascii="仿宋_GB2312" w:hAnsi="仿宋_GB2312" w:cs="仿宋_GB2312" w:eastAsia="仿宋_GB2312"/>
                <w:sz w:val="21"/>
              </w:rPr>
              <w:t>在院内形成验收入库后的追溯码信息库，将入库信息和追溯码对应，供消耗核销，供医院将相关数据上传至医保平台。</w:t>
            </w:r>
          </w:p>
          <w:p>
            <w:pPr>
              <w:pStyle w:val="null3"/>
              <w:ind w:left="570"/>
            </w:pPr>
            <w:r>
              <w:rPr>
                <w:rFonts w:ascii="仿宋_GB2312" w:hAnsi="仿宋_GB2312" w:cs="仿宋_GB2312" w:eastAsia="仿宋_GB2312"/>
                <w:sz w:val="21"/>
                <w:b/>
              </w:rPr>
              <w:t>6.4.追溯码应用模块出库</w:t>
            </w:r>
            <w:r>
              <w:rPr>
                <w:rFonts w:ascii="仿宋_GB2312" w:hAnsi="仿宋_GB2312" w:cs="仿宋_GB2312" w:eastAsia="仿宋_GB2312"/>
                <w:sz w:val="21"/>
                <w:b/>
              </w:rPr>
              <w:t>功能及流程处理详细要求</w:t>
            </w:r>
          </w:p>
          <w:p>
            <w:pPr>
              <w:pStyle w:val="null3"/>
              <w:ind w:left="705"/>
            </w:pPr>
            <w:r>
              <w:rPr>
                <w:rFonts w:ascii="仿宋_GB2312" w:hAnsi="仿宋_GB2312" w:cs="仿宋_GB2312" w:eastAsia="仿宋_GB2312"/>
                <w:sz w:val="21"/>
                <w:b/>
              </w:rPr>
              <w:t>6.4.1.</w:t>
            </w:r>
            <w:r>
              <w:rPr>
                <w:rFonts w:ascii="仿宋_GB2312" w:hAnsi="仿宋_GB2312" w:cs="仿宋_GB2312" w:eastAsia="仿宋_GB2312"/>
                <w:sz w:val="21"/>
                <w:b/>
              </w:rPr>
              <w:t>拆零追溯码生成与关联</w:t>
            </w:r>
          </w:p>
          <w:p>
            <w:pPr>
              <w:pStyle w:val="null3"/>
              <w:ind w:firstLine="420"/>
              <w:jc w:val="both"/>
            </w:pPr>
            <w:r>
              <w:rPr>
                <w:rFonts w:ascii="仿宋_GB2312" w:hAnsi="仿宋_GB2312" w:cs="仿宋_GB2312" w:eastAsia="仿宋_GB2312"/>
                <w:sz w:val="21"/>
              </w:rPr>
              <w:t>通过部署专用</w:t>
            </w:r>
            <w:r>
              <w:rPr>
                <w:rFonts w:ascii="仿宋_GB2312" w:hAnsi="仿宋_GB2312" w:cs="仿宋_GB2312" w:eastAsia="仿宋_GB2312"/>
                <w:sz w:val="21"/>
              </w:rPr>
              <w:t>PDA设备及院内系统对接，建立拆零药品追溯机制。医院药库</w:t>
            </w:r>
            <w:r>
              <w:rPr>
                <w:rFonts w:ascii="仿宋_GB2312" w:hAnsi="仿宋_GB2312" w:cs="仿宋_GB2312" w:eastAsia="仿宋_GB2312"/>
                <w:sz w:val="21"/>
              </w:rPr>
              <w:t>工作人员</w:t>
            </w:r>
            <w:r>
              <w:rPr>
                <w:rFonts w:ascii="仿宋_GB2312" w:hAnsi="仿宋_GB2312" w:cs="仿宋_GB2312" w:eastAsia="仿宋_GB2312"/>
                <w:sz w:val="21"/>
              </w:rPr>
              <w:t>每天早上手动操作</w:t>
            </w:r>
            <w:r>
              <w:rPr>
                <w:rFonts w:ascii="仿宋_GB2312" w:hAnsi="仿宋_GB2312" w:cs="仿宋_GB2312" w:eastAsia="仿宋_GB2312"/>
                <w:sz w:val="21"/>
              </w:rPr>
              <w:t>PDA批量扫描药品原包装追溯码后，依据临床用药需求录入拆零数量及转换比（如1盒=24片），系统自动按比例生成与原始追溯码关联的拆零单元数据，通过院内专用接口将同一盒药的多条拆零追溯码存入医院拆零药品追溯码对应关系库，形成包含药品标识码、药品代码、医保代码、药品名称、规格、包装单位、剂型、生产企业、批准文号、转换比等内容的完整映射关系。系统管理拆零追溯码对应关系库，确保与配送企业上传的原始追溯码无缝衔接，拆零数据与HIS系统库存模块实时对接，满足医保全流程追溯要求。</w:t>
            </w:r>
          </w:p>
          <w:p>
            <w:pPr>
              <w:pStyle w:val="null3"/>
              <w:ind w:left="705"/>
            </w:pPr>
            <w:r>
              <w:rPr>
                <w:rFonts w:ascii="仿宋_GB2312" w:hAnsi="仿宋_GB2312" w:cs="仿宋_GB2312" w:eastAsia="仿宋_GB2312"/>
                <w:sz w:val="21"/>
                <w:b/>
              </w:rPr>
              <w:t>6.4.2.</w:t>
            </w:r>
            <w:r>
              <w:rPr>
                <w:rFonts w:ascii="仿宋_GB2312" w:hAnsi="仿宋_GB2312" w:cs="仿宋_GB2312" w:eastAsia="仿宋_GB2312"/>
                <w:sz w:val="21"/>
                <w:b/>
              </w:rPr>
              <w:t>发药端拆零追溯码匹配与上传</w:t>
            </w:r>
          </w:p>
          <w:p>
            <w:pPr>
              <w:pStyle w:val="null3"/>
              <w:ind w:firstLine="420"/>
              <w:jc w:val="both"/>
            </w:pPr>
            <w:r>
              <w:rPr>
                <w:rFonts w:ascii="仿宋_GB2312" w:hAnsi="仿宋_GB2312" w:cs="仿宋_GB2312" w:eastAsia="仿宋_GB2312"/>
                <w:sz w:val="21"/>
              </w:rPr>
              <w:t>在发药环节，发药</w:t>
            </w:r>
            <w:r>
              <w:rPr>
                <w:rFonts w:ascii="仿宋_GB2312" w:hAnsi="仿宋_GB2312" w:cs="仿宋_GB2312" w:eastAsia="仿宋_GB2312"/>
                <w:sz w:val="21"/>
              </w:rPr>
              <w:t>工作人员</w:t>
            </w:r>
            <w:r>
              <w:rPr>
                <w:rFonts w:ascii="仿宋_GB2312" w:hAnsi="仿宋_GB2312" w:cs="仿宋_GB2312" w:eastAsia="仿宋_GB2312"/>
                <w:sz w:val="21"/>
              </w:rPr>
              <w:t>登录</w:t>
            </w:r>
            <w:r>
              <w:rPr>
                <w:rFonts w:ascii="仿宋_GB2312" w:hAnsi="仿宋_GB2312" w:cs="仿宋_GB2312" w:eastAsia="仿宋_GB2312"/>
                <w:sz w:val="21"/>
              </w:rPr>
              <w:t>HIS系统，选择待发放的拆零药品处方后，按先进先出原则，从拆零药品关系库自动匹配对应的追溯码，并在发药界面展示药品名称、追溯码、数量等关键信息便于发药</w:t>
            </w:r>
            <w:r>
              <w:rPr>
                <w:rFonts w:ascii="仿宋_GB2312" w:hAnsi="仿宋_GB2312" w:cs="仿宋_GB2312" w:eastAsia="仿宋_GB2312"/>
                <w:sz w:val="21"/>
              </w:rPr>
              <w:t>工作人员</w:t>
            </w:r>
            <w:r>
              <w:rPr>
                <w:rFonts w:ascii="仿宋_GB2312" w:hAnsi="仿宋_GB2312" w:cs="仿宋_GB2312" w:eastAsia="仿宋_GB2312"/>
                <w:sz w:val="21"/>
              </w:rPr>
              <w:t>核对校验是否无误，同时执行扣库操作。发药操作结束后，将匹配的追溯码数据上传至省平台。</w:t>
            </w:r>
          </w:p>
          <w:p>
            <w:pPr>
              <w:pStyle w:val="null3"/>
              <w:ind w:left="420"/>
            </w:pPr>
            <w:r>
              <w:rPr>
                <w:rFonts w:ascii="仿宋_GB2312" w:hAnsi="仿宋_GB2312" w:cs="仿宋_GB2312" w:eastAsia="仿宋_GB2312"/>
                <w:sz w:val="21"/>
                <w:b/>
              </w:rPr>
              <w:t>7.</w:t>
            </w:r>
            <w:r>
              <w:rPr>
                <w:rFonts w:ascii="仿宋_GB2312" w:hAnsi="仿宋_GB2312" w:cs="仿宋_GB2312" w:eastAsia="仿宋_GB2312"/>
                <w:sz w:val="21"/>
                <w:b/>
              </w:rPr>
              <w:t>硬件设备技术参数</w:t>
            </w:r>
          </w:p>
          <w:tbl>
            <w:tblPr>
              <w:tblInd w:type="dxa" w:w="120"/>
              <w:tblBorders>
                <w:top w:val="none" w:color="000000" w:sz="4"/>
                <w:left w:val="none" w:color="000000" w:sz="4"/>
                <w:bottom w:val="none" w:color="000000" w:sz="4"/>
                <w:right w:val="none" w:color="000000" w:sz="4"/>
                <w:insideH w:val="none"/>
                <w:insideV w:val="none"/>
              </w:tblBorders>
            </w:tblPr>
            <w:tblGrid>
              <w:gridCol w:w="173"/>
              <w:gridCol w:w="205"/>
              <w:gridCol w:w="1823"/>
              <w:gridCol w:w="352"/>
            </w:tblGrid>
            <w:tr>
              <w:tc>
                <w:tcPr>
                  <w:tcW w:type="dxa" w:w="173"/>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05"/>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分类</w:t>
                  </w:r>
                </w:p>
              </w:tc>
              <w:tc>
                <w:tcPr>
                  <w:tcW w:type="dxa" w:w="1823"/>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技术参数要求</w:t>
                  </w:r>
                </w:p>
              </w:tc>
              <w:tc>
                <w:tcPr>
                  <w:tcW w:type="dxa" w:w="352"/>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高拍仪</w:t>
                  </w:r>
                </w:p>
                <w:p>
                  <w:pPr>
                    <w:pStyle w:val="null3"/>
                    <w:jc w:val="both"/>
                  </w:pP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≥1928x1208</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调焦方式</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定焦镜头</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补光灯</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白光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扫码面积</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约</w:t>
                  </w:r>
                  <w:r>
                    <w:rPr>
                      <w:rFonts w:ascii="仿宋_GB2312" w:hAnsi="仿宋_GB2312" w:cs="仿宋_GB2312" w:eastAsia="仿宋_GB2312"/>
                      <w:sz w:val="21"/>
                    </w:rPr>
                    <w:t>380mm* 240mm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扫描速度</w:t>
                  </w:r>
                  <w:r>
                    <w:rPr>
                      <w:rFonts w:ascii="仿宋_GB2312" w:hAnsi="仿宋_GB2312" w:cs="仿宋_GB2312" w:eastAsia="仿宋_GB2312"/>
                      <w:sz w:val="21"/>
                    </w:rPr>
                    <w:t>≥50个码/秒</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帧速率</w:t>
                  </w:r>
                  <w:r>
                    <w:rPr>
                      <w:rFonts w:ascii="仿宋_GB2312" w:hAnsi="仿宋_GB2312" w:cs="仿宋_GB2312" w:eastAsia="仿宋_GB2312"/>
                      <w:sz w:val="21"/>
                    </w:rPr>
                    <w:t>≥60帧/秒</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支持码制</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一维：</w:t>
                  </w:r>
                  <w:r>
                    <w:rPr>
                      <w:rFonts w:ascii="仿宋_GB2312" w:hAnsi="仿宋_GB2312" w:cs="仿宋_GB2312" w:eastAsia="仿宋_GB2312"/>
                      <w:sz w:val="21"/>
                    </w:rPr>
                    <w:t>Code 39，Code 93，Code 128，CodaBar，EAN8，EAN13，UPCA，UPCE，ITF14，ITF25， Matrix 25，MSI，ChinaPost，Code 11 等</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二维：</w:t>
                  </w:r>
                  <w:r>
                    <w:rPr>
                      <w:rFonts w:ascii="仿宋_GB2312" w:hAnsi="仿宋_GB2312" w:cs="仿宋_GB2312" w:eastAsia="仿宋_GB2312"/>
                      <w:sz w:val="21"/>
                    </w:rPr>
                    <w:t>QR，DM ，PDF417等</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扬声器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3W，音量可调节或关闭</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扫码触发</w:t>
                  </w:r>
                  <w:r>
                    <w:rPr>
                      <w:rFonts w:ascii="仿宋_GB2312" w:hAnsi="仿宋_GB2312" w:cs="仿宋_GB2312" w:eastAsia="仿宋_GB2312"/>
                      <w:sz w:val="21"/>
                    </w:rPr>
                    <w:t>：</w:t>
                  </w:r>
                  <w:r>
                    <w:rPr>
                      <w:rFonts w:ascii="仿宋_GB2312" w:hAnsi="仿宋_GB2312" w:cs="仿宋_GB2312" w:eastAsia="仿宋_GB2312"/>
                      <w:sz w:val="21"/>
                    </w:rPr>
                    <w:t>光电传感器或视觉检测触发</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防重扫</w:t>
                  </w:r>
                  <w:r>
                    <w:rPr>
                      <w:rFonts w:ascii="仿宋_GB2312" w:hAnsi="仿宋_GB2312" w:cs="仿宋_GB2312" w:eastAsia="仿宋_GB2312"/>
                      <w:sz w:val="21"/>
                    </w:rPr>
                    <w:t>：</w:t>
                  </w:r>
                  <w:r>
                    <w:rPr>
                      <w:rFonts w:ascii="仿宋_GB2312" w:hAnsi="仿宋_GB2312" w:cs="仿宋_GB2312" w:eastAsia="仿宋_GB2312"/>
                      <w:sz w:val="21"/>
                    </w:rPr>
                    <w:t>指定时间内重复条码的过滤</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识读距离范围</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150mm~400mm</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防反光</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标配偏振镜片</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接口</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网口、串口、</w:t>
                  </w:r>
                  <w:r>
                    <w:rPr>
                      <w:rFonts w:ascii="仿宋_GB2312" w:hAnsi="仿宋_GB2312" w:cs="仿宋_GB2312" w:eastAsia="仿宋_GB2312"/>
                      <w:sz w:val="21"/>
                    </w:rPr>
                    <w:t>USB接口</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配电源线、</w:t>
                  </w:r>
                  <w:r>
                    <w:rPr>
                      <w:rFonts w:ascii="仿宋_GB2312" w:hAnsi="仿宋_GB2312" w:cs="仿宋_GB2312" w:eastAsia="仿宋_GB2312"/>
                      <w:sz w:val="21"/>
                    </w:rPr>
                    <w:t>适配器</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万向支架套装：金属合金材质，</w:t>
                  </w:r>
                  <w:r>
                    <w:rPr>
                      <w:rFonts w:ascii="仿宋_GB2312" w:hAnsi="仿宋_GB2312" w:cs="仿宋_GB2312" w:eastAsia="仿宋_GB2312"/>
                      <w:sz w:val="21"/>
                    </w:rPr>
                    <w:t>360度角度可调</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软件及</w:t>
                  </w:r>
                  <w:r>
                    <w:rPr>
                      <w:rFonts w:ascii="仿宋_GB2312" w:hAnsi="仿宋_GB2312" w:cs="仿宋_GB2312" w:eastAsia="仿宋_GB2312"/>
                      <w:sz w:val="21"/>
                    </w:rPr>
                    <w:t>HIS接口</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SDK</w:t>
                  </w:r>
                  <w:r>
                    <w:rPr>
                      <w:rFonts w:ascii="仿宋_GB2312" w:hAnsi="仿宋_GB2312" w:cs="仿宋_GB2312" w:eastAsia="仿宋_GB2312"/>
                      <w:sz w:val="21"/>
                    </w:rPr>
                    <w:t>，</w:t>
                  </w:r>
                  <w:r>
                    <w:rPr>
                      <w:rFonts w:ascii="仿宋_GB2312" w:hAnsi="仿宋_GB2312" w:cs="仿宋_GB2312" w:eastAsia="仿宋_GB2312"/>
                      <w:sz w:val="21"/>
                    </w:rPr>
                    <w:t>提供专用中间件软件定制</w:t>
                  </w:r>
                  <w:r>
                    <w:rPr>
                      <w:rFonts w:ascii="仿宋_GB2312" w:hAnsi="仿宋_GB2312" w:cs="仿宋_GB2312" w:eastAsia="仿宋_GB2312"/>
                      <w:sz w:val="21"/>
                    </w:rPr>
                    <w:t>，</w:t>
                  </w:r>
                  <w:r>
                    <w:rPr>
                      <w:rFonts w:ascii="仿宋_GB2312" w:hAnsi="仿宋_GB2312" w:cs="仿宋_GB2312" w:eastAsia="仿宋_GB2312"/>
                      <w:sz w:val="21"/>
                    </w:rPr>
                    <w:t>支持业务相关参数定制。</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质保</w:t>
                  </w:r>
                  <w:r>
                    <w:rPr>
                      <w:rFonts w:ascii="仿宋_GB2312" w:hAnsi="仿宋_GB2312" w:cs="仿宋_GB2312" w:eastAsia="仿宋_GB2312"/>
                      <w:sz w:val="21"/>
                    </w:rPr>
                    <w:t>：</w:t>
                  </w:r>
                  <w:r>
                    <w:rPr>
                      <w:rFonts w:ascii="仿宋_GB2312" w:hAnsi="仿宋_GB2312" w:cs="仿宋_GB2312" w:eastAsia="仿宋_GB2312"/>
                      <w:sz w:val="21"/>
                    </w:rPr>
                    <w:t>原厂质保</w:t>
                  </w:r>
                  <w:r>
                    <w:rPr>
                      <w:rFonts w:ascii="仿宋_GB2312" w:hAnsi="仿宋_GB2312" w:cs="仿宋_GB2312" w:eastAsia="仿宋_GB2312"/>
                      <w:sz w:val="21"/>
                    </w:rPr>
                    <w:t>3</w:t>
                  </w:r>
                  <w:r>
                    <w:rPr>
                      <w:rFonts w:ascii="仿宋_GB2312" w:hAnsi="仿宋_GB2312" w:cs="仿宋_GB2312" w:eastAsia="仿宋_GB2312"/>
                      <w:sz w:val="21"/>
                    </w:rPr>
                    <w:t>年，提供本地化上门服务</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PDA</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操作系统</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Android 14.0或以上</w:t>
                  </w:r>
                </w:p>
                <w:p>
                  <w:pPr>
                    <w:pStyle w:val="null3"/>
                    <w:jc w:val="both"/>
                  </w:pPr>
                  <w:r>
                    <w:rPr>
                      <w:rFonts w:ascii="仿宋_GB2312" w:hAnsi="仿宋_GB2312" w:cs="仿宋_GB2312" w:eastAsia="仿宋_GB2312"/>
                      <w:sz w:val="21"/>
                    </w:rPr>
                    <w:t>处理器</w:t>
                  </w:r>
                  <w:r>
                    <w:rPr>
                      <w:rFonts w:ascii="仿宋_GB2312" w:hAnsi="仿宋_GB2312" w:cs="仿宋_GB2312" w:eastAsia="仿宋_GB2312"/>
                      <w:sz w:val="21"/>
                    </w:rPr>
                    <w:t>≥八核 2.0GHz</w:t>
                  </w:r>
                </w:p>
                <w:p>
                  <w:pPr>
                    <w:pStyle w:val="null3"/>
                    <w:jc w:val="both"/>
                  </w:pPr>
                  <w:r>
                    <w:rPr>
                      <w:rFonts w:ascii="仿宋_GB2312" w:hAnsi="仿宋_GB2312" w:cs="仿宋_GB2312" w:eastAsia="仿宋_GB2312"/>
                      <w:sz w:val="21"/>
                    </w:rPr>
                    <w:t>RAM</w:t>
                  </w:r>
                  <w:r>
                    <w:rPr>
                      <w:rFonts w:ascii="仿宋_GB2312" w:hAnsi="仿宋_GB2312" w:cs="仿宋_GB2312" w:eastAsia="仿宋_GB2312"/>
                      <w:sz w:val="21"/>
                    </w:rPr>
                    <w:t>≥8GB ，ROM≥128GB</w:t>
                  </w:r>
                </w:p>
                <w:p>
                  <w:pPr>
                    <w:pStyle w:val="null3"/>
                    <w:jc w:val="both"/>
                  </w:pPr>
                  <w:r>
                    <w:rPr>
                      <w:rFonts w:ascii="仿宋_GB2312" w:hAnsi="仿宋_GB2312" w:cs="仿宋_GB2312" w:eastAsia="仿宋_GB2312"/>
                      <w:sz w:val="21"/>
                    </w:rPr>
                    <w:t>显示屏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5.5英寸，分辨率</w:t>
                  </w:r>
                  <w:r>
                    <w:rPr>
                      <w:rFonts w:ascii="仿宋_GB2312" w:hAnsi="仿宋_GB2312" w:cs="仿宋_GB2312" w:eastAsia="仿宋_GB2312"/>
                      <w:sz w:val="21"/>
                    </w:rPr>
                    <w:t>≥</w:t>
                  </w:r>
                  <w:r>
                    <w:rPr>
                      <w:rFonts w:ascii="仿宋_GB2312" w:hAnsi="仿宋_GB2312" w:cs="仿宋_GB2312" w:eastAsia="仿宋_GB2312"/>
                      <w:sz w:val="21"/>
                    </w:rPr>
                    <w:t>1440*720像素，IPS</w:t>
                  </w:r>
                  <w:r>
                    <w:rPr>
                      <w:rFonts w:ascii="仿宋_GB2312" w:hAnsi="仿宋_GB2312" w:cs="仿宋_GB2312" w:eastAsia="仿宋_GB2312"/>
                      <w:sz w:val="21"/>
                    </w:rPr>
                    <w:t>，</w:t>
                  </w:r>
                  <w:r>
                    <w:rPr>
                      <w:rFonts w:ascii="仿宋_GB2312" w:hAnsi="仿宋_GB2312" w:cs="仿宋_GB2312" w:eastAsia="仿宋_GB2312"/>
                      <w:sz w:val="21"/>
                    </w:rPr>
                    <w:t>支持多点触控</w:t>
                  </w:r>
                </w:p>
                <w:p>
                  <w:pPr>
                    <w:pStyle w:val="null3"/>
                    <w:jc w:val="both"/>
                  </w:pPr>
                  <w:r>
                    <w:rPr>
                      <w:rFonts w:ascii="仿宋_GB2312" w:hAnsi="仿宋_GB2312" w:cs="仿宋_GB2312" w:eastAsia="仿宋_GB2312"/>
                      <w:sz w:val="21"/>
                    </w:rPr>
                    <w:t>电池容量</w:t>
                  </w:r>
                  <w:r>
                    <w:rPr>
                      <w:rFonts w:ascii="仿宋_GB2312" w:hAnsi="仿宋_GB2312" w:cs="仿宋_GB2312" w:eastAsia="仿宋_GB2312"/>
                      <w:sz w:val="21"/>
                    </w:rPr>
                    <w:t>≥5000mAh锂离子电池，电池可拆卸，支持备电功能</w:t>
                  </w:r>
                </w:p>
                <w:p>
                  <w:pPr>
                    <w:pStyle w:val="null3"/>
                    <w:jc w:val="both"/>
                  </w:pPr>
                  <w:r>
                    <w:rPr>
                      <w:rFonts w:ascii="仿宋_GB2312" w:hAnsi="仿宋_GB2312" w:cs="仿宋_GB2312" w:eastAsia="仿宋_GB2312"/>
                      <w:sz w:val="21"/>
                    </w:rPr>
                    <w:t>扫描头</w:t>
                  </w:r>
                  <w:r>
                    <w:rPr>
                      <w:rFonts w:ascii="仿宋_GB2312" w:hAnsi="仿宋_GB2312" w:cs="仿宋_GB2312" w:eastAsia="仿宋_GB2312"/>
                      <w:sz w:val="21"/>
                    </w:rPr>
                    <w:t>：具有扫描功能</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同步功能</w:t>
                  </w:r>
                  <w:r>
                    <w:rPr>
                      <w:rFonts w:ascii="仿宋_GB2312" w:hAnsi="仿宋_GB2312" w:cs="仿宋_GB2312" w:eastAsia="仿宋_GB2312"/>
                      <w:sz w:val="21"/>
                    </w:rPr>
                    <w:t>：</w:t>
                  </w:r>
                  <w:r>
                    <w:rPr>
                      <w:rFonts w:ascii="仿宋_GB2312" w:hAnsi="仿宋_GB2312" w:cs="仿宋_GB2312" w:eastAsia="仿宋_GB2312"/>
                      <w:sz w:val="21"/>
                    </w:rPr>
                    <w:t>具</w:t>
                  </w:r>
                  <w:r>
                    <w:rPr>
                      <w:rFonts w:ascii="仿宋_GB2312" w:hAnsi="仿宋_GB2312" w:cs="仿宋_GB2312" w:eastAsia="仿宋_GB2312"/>
                      <w:sz w:val="21"/>
                    </w:rPr>
                    <w:t>有</w:t>
                  </w:r>
                  <w:r>
                    <w:rPr>
                      <w:rFonts w:ascii="仿宋_GB2312" w:hAnsi="仿宋_GB2312" w:cs="仿宋_GB2312" w:eastAsia="仿宋_GB2312"/>
                      <w:sz w:val="21"/>
                    </w:rPr>
                    <w:t>网络时间同步或局域内时钟源同步功能</w:t>
                  </w:r>
                </w:p>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提示</w:t>
                  </w:r>
                  <w:r>
                    <w:rPr>
                      <w:rFonts w:ascii="仿宋_GB2312" w:hAnsi="仿宋_GB2312" w:cs="仿宋_GB2312" w:eastAsia="仿宋_GB2312"/>
                      <w:sz w:val="21"/>
                    </w:rPr>
                    <w:t>功能：</w:t>
                  </w:r>
                  <w:r>
                    <w:rPr>
                      <w:rFonts w:ascii="仿宋_GB2312" w:hAnsi="仿宋_GB2312" w:cs="仿宋_GB2312" w:eastAsia="仿宋_GB2312"/>
                      <w:sz w:val="21"/>
                    </w:rPr>
                    <w:t>振动提示</w:t>
                  </w:r>
                  <w:r>
                    <w:rPr>
                      <w:rFonts w:ascii="仿宋_GB2312" w:hAnsi="仿宋_GB2312" w:cs="仿宋_GB2312" w:eastAsia="仿宋_GB2312"/>
                      <w:sz w:val="21"/>
                    </w:rPr>
                    <w:t>、</w:t>
                  </w:r>
                  <w:r>
                    <w:rPr>
                      <w:rFonts w:ascii="仿宋_GB2312" w:hAnsi="仿宋_GB2312" w:cs="仿宋_GB2312" w:eastAsia="仿宋_GB2312"/>
                      <w:sz w:val="21"/>
                    </w:rPr>
                    <w:t>LED提示</w:t>
                  </w:r>
                  <w:r>
                    <w:rPr>
                      <w:rFonts w:ascii="仿宋_GB2312" w:hAnsi="仿宋_GB2312" w:cs="仿宋_GB2312" w:eastAsia="仿宋_GB2312"/>
                      <w:sz w:val="21"/>
                    </w:rPr>
                    <w:t>、</w:t>
                  </w:r>
                  <w:r>
                    <w:rPr>
                      <w:rFonts w:ascii="仿宋_GB2312" w:hAnsi="仿宋_GB2312" w:cs="仿宋_GB2312" w:eastAsia="仿宋_GB2312"/>
                      <w:sz w:val="21"/>
                    </w:rPr>
                    <w:t>音频提示</w:t>
                  </w:r>
                </w:p>
                <w:p>
                  <w:pPr>
                    <w:pStyle w:val="null3"/>
                    <w:jc w:val="both"/>
                  </w:pPr>
                  <w:r>
                    <w:rPr>
                      <w:rFonts w:ascii="仿宋_GB2312" w:hAnsi="仿宋_GB2312" w:cs="仿宋_GB2312" w:eastAsia="仿宋_GB2312"/>
                      <w:sz w:val="21"/>
                    </w:rPr>
                    <w:t>传感器</w:t>
                  </w:r>
                  <w:r>
                    <w:rPr>
                      <w:rFonts w:ascii="仿宋_GB2312" w:hAnsi="仿宋_GB2312" w:cs="仿宋_GB2312" w:eastAsia="仿宋_GB2312"/>
                      <w:sz w:val="21"/>
                    </w:rPr>
                    <w:t>：</w:t>
                  </w:r>
                  <w:r>
                    <w:rPr>
                      <w:rFonts w:ascii="仿宋_GB2312" w:hAnsi="仿宋_GB2312" w:cs="仿宋_GB2312" w:eastAsia="仿宋_GB2312"/>
                      <w:sz w:val="21"/>
                    </w:rPr>
                    <w:t>G-Senser（重力传感器）</w:t>
                  </w:r>
                  <w:r>
                    <w:rPr>
                      <w:rFonts w:ascii="仿宋_GB2312" w:hAnsi="仿宋_GB2312" w:cs="仿宋_GB2312" w:eastAsia="仿宋_GB2312"/>
                      <w:sz w:val="21"/>
                    </w:rPr>
                    <w:t>、</w:t>
                  </w:r>
                  <w:r>
                    <w:rPr>
                      <w:rFonts w:ascii="仿宋_GB2312" w:hAnsi="仿宋_GB2312" w:cs="仿宋_GB2312" w:eastAsia="仿宋_GB2312"/>
                      <w:sz w:val="21"/>
                    </w:rPr>
                    <w:t>接近传感器</w:t>
                  </w:r>
                  <w:r>
                    <w:rPr>
                      <w:rFonts w:ascii="仿宋_GB2312" w:hAnsi="仿宋_GB2312" w:cs="仿宋_GB2312" w:eastAsia="仿宋_GB2312"/>
                      <w:sz w:val="21"/>
                    </w:rPr>
                    <w:t>、</w:t>
                  </w:r>
                  <w:r>
                    <w:rPr>
                      <w:rFonts w:ascii="仿宋_GB2312" w:hAnsi="仿宋_GB2312" w:cs="仿宋_GB2312" w:eastAsia="仿宋_GB2312"/>
                      <w:sz w:val="21"/>
                    </w:rPr>
                    <w:t>光线传感器</w:t>
                  </w:r>
                  <w:r>
                    <w:rPr>
                      <w:rFonts w:ascii="仿宋_GB2312" w:hAnsi="仿宋_GB2312" w:cs="仿宋_GB2312" w:eastAsia="仿宋_GB2312"/>
                      <w:sz w:val="21"/>
                    </w:rPr>
                    <w:t>、</w:t>
                  </w:r>
                  <w:r>
                    <w:rPr>
                      <w:rFonts w:ascii="仿宋_GB2312" w:hAnsi="仿宋_GB2312" w:cs="仿宋_GB2312" w:eastAsia="仿宋_GB2312"/>
                      <w:sz w:val="21"/>
                    </w:rPr>
                    <w:t>陀螺仪</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摄像头</w:t>
                  </w:r>
                  <w:r>
                    <w:rPr>
                      <w:rFonts w:ascii="仿宋_GB2312" w:hAnsi="仿宋_GB2312" w:cs="仿宋_GB2312" w:eastAsia="仿宋_GB2312"/>
                      <w:sz w:val="21"/>
                    </w:rPr>
                    <w:t>：</w:t>
                  </w:r>
                  <w:r>
                    <w:rPr>
                      <w:rFonts w:ascii="仿宋_GB2312" w:hAnsi="仿宋_GB2312" w:cs="仿宋_GB2312" w:eastAsia="仿宋_GB2312"/>
                      <w:sz w:val="21"/>
                    </w:rPr>
                    <w:t>后置</w:t>
                  </w:r>
                  <w:r>
                    <w:rPr>
                      <w:rFonts w:ascii="仿宋_GB2312" w:hAnsi="仿宋_GB2312" w:cs="仿宋_GB2312" w:eastAsia="仿宋_GB2312"/>
                      <w:sz w:val="21"/>
                    </w:rPr>
                    <w:t>≥1300万像素，支持自动对焦/PDAF，前置≥500万像素</w:t>
                  </w:r>
                </w:p>
                <w:p>
                  <w:pPr>
                    <w:pStyle w:val="null3"/>
                    <w:jc w:val="both"/>
                  </w:pPr>
                  <w:r>
                    <w:rPr>
                      <w:rFonts w:ascii="仿宋_GB2312" w:hAnsi="仿宋_GB2312" w:cs="仿宋_GB2312" w:eastAsia="仿宋_GB2312"/>
                      <w:sz w:val="21"/>
                    </w:rPr>
                    <w:t>NFC 频率</w:t>
                  </w:r>
                  <w:r>
                    <w:rPr>
                      <w:rFonts w:ascii="仿宋_GB2312" w:hAnsi="仿宋_GB2312" w:cs="仿宋_GB2312" w:eastAsia="仿宋_GB2312"/>
                      <w:sz w:val="21"/>
                    </w:rPr>
                    <w:t>：</w:t>
                  </w:r>
                  <w:r>
                    <w:rPr>
                      <w:rFonts w:ascii="仿宋_GB2312" w:hAnsi="仿宋_GB2312" w:cs="仿宋_GB2312" w:eastAsia="仿宋_GB2312"/>
                      <w:sz w:val="21"/>
                    </w:rPr>
                    <w:t>13.56MHz读取距离60mm以内通讯协议 ISO14443A/14443B/15693</w:t>
                  </w:r>
                </w:p>
                <w:p>
                  <w:pPr>
                    <w:pStyle w:val="null3"/>
                    <w:jc w:val="both"/>
                  </w:pPr>
                  <w:r>
                    <w:rPr>
                      <w:rFonts w:ascii="仿宋_GB2312" w:hAnsi="仿宋_GB2312" w:cs="仿宋_GB2312" w:eastAsia="仿宋_GB2312"/>
                      <w:sz w:val="21"/>
                    </w:rPr>
                    <w:t>充电模式</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Type-C充电，支持快充</w:t>
                  </w:r>
                </w:p>
                <w:p>
                  <w:pPr>
                    <w:pStyle w:val="null3"/>
                    <w:jc w:val="both"/>
                  </w:pPr>
                  <w:r>
                    <w:rPr>
                      <w:rFonts w:ascii="仿宋_GB2312" w:hAnsi="仿宋_GB2312" w:cs="仿宋_GB2312" w:eastAsia="仿宋_GB2312"/>
                      <w:sz w:val="21"/>
                    </w:rPr>
                    <w:t>扫码读取</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支持国际通用的一维条码与二维条码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抗摔高度</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可经受多次</w:t>
                  </w:r>
                  <w:r>
                    <w:rPr>
                      <w:rFonts w:ascii="仿宋_GB2312" w:hAnsi="仿宋_GB2312" w:cs="仿宋_GB2312" w:eastAsia="仿宋_GB2312"/>
                      <w:sz w:val="21"/>
                    </w:rPr>
                    <w:t>1.5米到水泥地面的跌落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防护等级</w:t>
                  </w:r>
                  <w:r>
                    <w:rPr>
                      <w:rFonts w:ascii="仿宋_GB2312" w:hAnsi="仿宋_GB2312" w:cs="仿宋_GB2312" w:eastAsia="仿宋_GB2312"/>
                      <w:sz w:val="21"/>
                    </w:rPr>
                    <w:t>≥IP67</w:t>
                  </w:r>
                </w:p>
                <w:p>
                  <w:pPr>
                    <w:pStyle w:val="null3"/>
                    <w:jc w:val="both"/>
                  </w:pPr>
                  <w:r>
                    <w:rPr>
                      <w:rFonts w:ascii="仿宋_GB2312" w:hAnsi="仿宋_GB2312" w:cs="仿宋_GB2312" w:eastAsia="仿宋_GB2312"/>
                      <w:sz w:val="21"/>
                    </w:rPr>
                    <w:t>网络制式</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4</w:t>
                  </w:r>
                  <w:r>
                    <w:rPr>
                      <w:rFonts w:ascii="仿宋_GB2312" w:hAnsi="仿宋_GB2312" w:cs="仿宋_GB2312" w:eastAsia="仿宋_GB2312"/>
                      <w:sz w:val="21"/>
                    </w:rPr>
                    <w:t>G或5G</w:t>
                  </w:r>
                  <w:r>
                    <w:rPr>
                      <w:rFonts w:ascii="仿宋_GB2312" w:hAnsi="仿宋_GB2312" w:cs="仿宋_GB2312" w:eastAsia="仿宋_GB2312"/>
                      <w:sz w:val="21"/>
                    </w:rPr>
                    <w:t>功能，全网通，兼容移动、电信、联通</w:t>
                  </w:r>
                </w:p>
                <w:p>
                  <w:pPr>
                    <w:pStyle w:val="null3"/>
                    <w:jc w:val="both"/>
                  </w:pPr>
                  <w:r>
                    <w:rPr>
                      <w:rFonts w:ascii="仿宋_GB2312" w:hAnsi="仿宋_GB2312" w:cs="仿宋_GB2312" w:eastAsia="仿宋_GB2312"/>
                      <w:sz w:val="21"/>
                    </w:rPr>
                    <w:t>蓝牙</w:t>
                  </w:r>
                  <w:r>
                    <w:rPr>
                      <w:rFonts w:ascii="仿宋_GB2312" w:hAnsi="仿宋_GB2312" w:cs="仿宋_GB2312" w:eastAsia="仿宋_GB2312"/>
                      <w:sz w:val="21"/>
                    </w:rPr>
                    <w:t>：</w:t>
                  </w:r>
                  <w:r>
                    <w:rPr>
                      <w:rFonts w:ascii="仿宋_GB2312" w:hAnsi="仿宋_GB2312" w:cs="仿宋_GB2312" w:eastAsia="仿宋_GB2312"/>
                      <w:sz w:val="21"/>
                    </w:rPr>
                    <w:t xml:space="preserve">Bluetooth </w:t>
                  </w:r>
                  <w:r>
                    <w:rPr>
                      <w:rFonts w:ascii="仿宋_GB2312" w:hAnsi="仿宋_GB2312" w:cs="仿宋_GB2312" w:eastAsia="仿宋_GB2312"/>
                      <w:sz w:val="21"/>
                    </w:rPr>
                    <w:t>4</w:t>
                  </w:r>
                  <w:r>
                    <w:rPr>
                      <w:rFonts w:ascii="仿宋_GB2312" w:hAnsi="仿宋_GB2312" w:cs="仿宋_GB2312" w:eastAsia="仿宋_GB2312"/>
                      <w:sz w:val="21"/>
                    </w:rPr>
                    <w:t xml:space="preserve">.0 </w:t>
                  </w:r>
                  <w:r>
                    <w:rPr>
                      <w:rFonts w:ascii="仿宋_GB2312" w:hAnsi="仿宋_GB2312" w:cs="仿宋_GB2312" w:eastAsia="仿宋_GB2312"/>
                      <w:sz w:val="21"/>
                    </w:rPr>
                    <w:t>及以上</w:t>
                  </w:r>
                </w:p>
                <w:p>
                  <w:pPr>
                    <w:pStyle w:val="null3"/>
                    <w:jc w:val="both"/>
                  </w:pPr>
                  <w:r>
                    <w:rPr>
                      <w:rFonts w:ascii="仿宋_GB2312" w:hAnsi="仿宋_GB2312" w:cs="仿宋_GB2312" w:eastAsia="仿宋_GB2312"/>
                      <w:sz w:val="21"/>
                    </w:rPr>
                    <w:t>无线局域网</w:t>
                  </w:r>
                  <w:r>
                    <w:rPr>
                      <w:rFonts w:ascii="仿宋_GB2312" w:hAnsi="仿宋_GB2312" w:cs="仿宋_GB2312" w:eastAsia="仿宋_GB2312"/>
                      <w:sz w:val="21"/>
                    </w:rPr>
                    <w:t>：</w:t>
                  </w:r>
                  <w:r>
                    <w:rPr>
                      <w:rFonts w:ascii="仿宋_GB2312" w:hAnsi="仿宋_GB2312" w:cs="仿宋_GB2312" w:eastAsia="仿宋_GB2312"/>
                      <w:sz w:val="21"/>
                    </w:rPr>
                    <w:t>Wi-Fi 802.11 a/b/g/n/r/ac</w:t>
                  </w:r>
                  <w:r>
                    <w:rPr>
                      <w:rFonts w:ascii="仿宋_GB2312" w:hAnsi="仿宋_GB2312" w:cs="仿宋_GB2312" w:eastAsia="仿宋_GB2312"/>
                      <w:sz w:val="21"/>
                    </w:rPr>
                    <w:t>/ax</w:t>
                  </w:r>
                  <w:r>
                    <w:rPr>
                      <w:rFonts w:ascii="仿宋_GB2312" w:hAnsi="仿宋_GB2312" w:cs="仿宋_GB2312" w:eastAsia="仿宋_GB2312"/>
                      <w:sz w:val="21"/>
                    </w:rPr>
                    <w:t>（</w:t>
                  </w:r>
                  <w:r>
                    <w:rPr>
                      <w:rFonts w:ascii="仿宋_GB2312" w:hAnsi="仿宋_GB2312" w:cs="仿宋_GB2312" w:eastAsia="仿宋_GB2312"/>
                      <w:sz w:val="21"/>
                    </w:rPr>
                    <w:t>2.4G+5G双频Wi-Fi），支持快速漫游</w:t>
                  </w:r>
                </w:p>
                <w:p>
                  <w:pPr>
                    <w:pStyle w:val="null3"/>
                    <w:jc w:val="both"/>
                  </w:pPr>
                  <w:r>
                    <w:rPr>
                      <w:rFonts w:ascii="仿宋_GB2312" w:hAnsi="仿宋_GB2312" w:cs="仿宋_GB2312" w:eastAsia="仿宋_GB2312"/>
                      <w:sz w:val="21"/>
                    </w:rPr>
                    <w:t>定位</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GPS/北斗</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管理平台</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提供设备内网管理平台应用，可对设备进行批量管理，设备状态信息查看，应用推送，系统升级等功能</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自带软件</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自带条码扫描软件，支持识别条码类型、支持参数配置导入导出</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质保</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提供货物来源渠道合法的证明（包括但不限于销售协议、代理协议、原厂授权等）和质保承诺书</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r>
          </w:tbl>
          <w:p>
            <w:pPr>
              <w:pStyle w:val="null3"/>
              <w:ind w:firstLine="422"/>
            </w:pPr>
            <w:r>
              <w:rPr>
                <w:rFonts w:ascii="仿宋_GB2312" w:hAnsi="仿宋_GB2312" w:cs="仿宋_GB2312" w:eastAsia="仿宋_GB2312"/>
                <w:sz w:val="21"/>
                <w:b/>
              </w:rPr>
              <w:t>8.质保要求</w:t>
            </w:r>
          </w:p>
          <w:p>
            <w:pPr>
              <w:pStyle w:val="null3"/>
              <w:ind w:firstLine="420"/>
            </w:pPr>
            <w:r>
              <w:rPr>
                <w:rFonts w:ascii="仿宋_GB2312" w:hAnsi="仿宋_GB2312" w:cs="仿宋_GB2312" w:eastAsia="仿宋_GB2312"/>
                <w:sz w:val="21"/>
              </w:rPr>
              <w:t>软硬件提供</w:t>
            </w:r>
            <w:r>
              <w:rPr>
                <w:rFonts w:ascii="仿宋_GB2312" w:hAnsi="仿宋_GB2312" w:cs="仿宋_GB2312" w:eastAsia="仿宋_GB2312"/>
                <w:sz w:val="21"/>
              </w:rPr>
              <w:t>3年质保，质保期自项目验收合格之日起计算。</w:t>
            </w:r>
          </w:p>
          <w:p>
            <w:pPr>
              <w:pStyle w:val="null3"/>
              <w:ind w:firstLine="422"/>
            </w:pPr>
            <w:r>
              <w:rPr>
                <w:rFonts w:ascii="仿宋_GB2312" w:hAnsi="仿宋_GB2312" w:cs="仿宋_GB2312" w:eastAsia="仿宋_GB2312"/>
                <w:sz w:val="21"/>
                <w:b/>
              </w:rPr>
              <w:t>9.</w:t>
            </w:r>
            <w:r>
              <w:rPr>
                <w:rFonts w:ascii="仿宋_GB2312" w:hAnsi="仿宋_GB2312" w:cs="仿宋_GB2312" w:eastAsia="仿宋_GB2312"/>
                <w:sz w:val="21"/>
                <w:b/>
              </w:rPr>
              <w:t>维保服务要求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1）故障解决要求</w:t>
            </w:r>
          </w:p>
          <w:p>
            <w:pPr>
              <w:pStyle w:val="null3"/>
              <w:ind w:firstLine="420"/>
              <w:jc w:val="both"/>
            </w:pPr>
            <w:r>
              <w:rPr>
                <w:rFonts w:ascii="仿宋_GB2312" w:hAnsi="仿宋_GB2312" w:cs="仿宋_GB2312" w:eastAsia="仿宋_GB2312"/>
                <w:sz w:val="21"/>
              </w:rPr>
              <w:t>需提供</w:t>
            </w:r>
            <w:r>
              <w:rPr>
                <w:rFonts w:ascii="仿宋_GB2312" w:hAnsi="仿宋_GB2312" w:cs="仿宋_GB2312" w:eastAsia="仿宋_GB2312"/>
                <w:sz w:val="21"/>
              </w:rPr>
              <w:t>7*24小时响应服务，设备发生故障后1小时到达现场服务，国家法定节假日有专人电话值班，并可在2小时到达现场。对于系统软件故障在到达现场后2小时内解决，并恢复系统正常运行；对于硬件故障，常用备件4小时内更换完成并恢复系统正常运行，硬件问题需相关原厂提供备件的，相关备件24小时内更换完成并恢复系统正常运行。如果对故障原因不确定或确定有多种故障原因，且不能在短时间内解决的，</w:t>
            </w:r>
            <w:r>
              <w:rPr>
                <w:rFonts w:ascii="仿宋_GB2312" w:hAnsi="仿宋_GB2312" w:cs="仿宋_GB2312" w:eastAsia="仿宋_GB2312"/>
                <w:sz w:val="21"/>
              </w:rPr>
              <w:t>供应商</w:t>
            </w:r>
            <w:r>
              <w:rPr>
                <w:rFonts w:ascii="仿宋_GB2312" w:hAnsi="仿宋_GB2312" w:cs="仿宋_GB2312" w:eastAsia="仿宋_GB2312"/>
                <w:sz w:val="21"/>
              </w:rPr>
              <w:t>应在</w:t>
            </w:r>
            <w:r>
              <w:rPr>
                <w:rFonts w:ascii="仿宋_GB2312" w:hAnsi="仿宋_GB2312" w:cs="仿宋_GB2312" w:eastAsia="仿宋_GB2312"/>
                <w:sz w:val="21"/>
              </w:rPr>
              <w:t>24小时内免费提供备用设备，保证恢复系统的正常工作。故障解决时间不得超过7天。本次维保必须提供设备清单中包含的所有设备的任何故障部件诊断及免费更换服务。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2）日常维护要求</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rPr>
              <w:t>应提供每月不少于</w:t>
            </w:r>
            <w:r>
              <w:rPr>
                <w:rFonts w:ascii="仿宋_GB2312" w:hAnsi="仿宋_GB2312" w:cs="仿宋_GB2312" w:eastAsia="仿宋_GB2312"/>
                <w:sz w:val="21"/>
              </w:rPr>
              <w:t>1次的定期巡检，对相关软硬件设备进行性能、安全等方面的评估，确保相关业务系统服务功能正常、数据安全、系统稳定。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3）服务要求</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rPr>
              <w:t>应承诺保持技术服务人员的连续性和稳定性，对技术服务人员必须进行相关安全保密教育，签订保密协议，有履行保密的责任和义务。技术人员在维护工作中，有义务对代维设备作好标签制定、技术文件入档编辑、配置版本的保留和归档、软件版本的保留和归档、线缆的整理，在现场进行维保软硬件设备管理和监测，及时排查故障，对需要调整的配置经授权同意后进行修改。</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rPr>
              <w:t>应在维护期结束后提供年度维护报告，在报告中需要提供本年度的主要故障次数统计、系统性能评估报告、系统维护建议及日常故障处理的报告单。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4）服务类型要求</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供应商</w:t>
            </w:r>
            <w:r>
              <w:rPr>
                <w:rFonts w:ascii="仿宋_GB2312" w:hAnsi="仿宋_GB2312" w:cs="仿宋_GB2312" w:eastAsia="仿宋_GB2312"/>
                <w:sz w:val="21"/>
              </w:rPr>
              <w:t>应提供的服务类型包括：</w:t>
            </w:r>
          </w:p>
          <w:p>
            <w:pPr>
              <w:pStyle w:val="null3"/>
              <w:ind w:firstLine="420"/>
              <w:jc w:val="both"/>
            </w:pPr>
            <w:r>
              <w:rPr>
                <w:rFonts w:ascii="仿宋_GB2312" w:hAnsi="仿宋_GB2312" w:cs="仿宋_GB2312" w:eastAsia="仿宋_GB2312"/>
                <w:sz w:val="21"/>
              </w:rPr>
              <w:t>②热线电话、传真、邮件、QQ指导；</w:t>
            </w:r>
          </w:p>
          <w:p>
            <w:pPr>
              <w:pStyle w:val="null3"/>
              <w:ind w:firstLine="420"/>
              <w:jc w:val="both"/>
            </w:pPr>
            <w:r>
              <w:rPr>
                <w:rFonts w:ascii="仿宋_GB2312" w:hAnsi="仿宋_GB2312" w:cs="仿宋_GB2312" w:eastAsia="仿宋_GB2312"/>
                <w:sz w:val="21"/>
              </w:rPr>
              <w:t>③远程登录和远程接管；</w:t>
            </w:r>
          </w:p>
          <w:p>
            <w:pPr>
              <w:pStyle w:val="null3"/>
              <w:ind w:firstLine="420"/>
              <w:jc w:val="both"/>
            </w:pPr>
            <w:r>
              <w:rPr>
                <w:rFonts w:ascii="仿宋_GB2312" w:hAnsi="仿宋_GB2312" w:cs="仿宋_GB2312" w:eastAsia="仿宋_GB2312"/>
                <w:sz w:val="21"/>
              </w:rPr>
              <w:t>④工程师现场指导排除故障；</w:t>
            </w:r>
          </w:p>
          <w:p>
            <w:pPr>
              <w:pStyle w:val="null3"/>
              <w:ind w:firstLine="420"/>
              <w:jc w:val="both"/>
            </w:pPr>
            <w:r>
              <w:rPr>
                <w:rFonts w:ascii="仿宋_GB2312" w:hAnsi="仿宋_GB2312" w:cs="仿宋_GB2312" w:eastAsia="仿宋_GB2312"/>
                <w:sz w:val="21"/>
              </w:rPr>
              <w:t>⑤预防性服务，提供定期维护以及安全措施，以保证系统正常运行，排除故障隐患；</w:t>
            </w:r>
          </w:p>
          <w:p>
            <w:pPr>
              <w:pStyle w:val="null3"/>
            </w:pPr>
            <w:r>
              <w:rPr>
                <w:rFonts w:ascii="仿宋_GB2312" w:hAnsi="仿宋_GB2312" w:cs="仿宋_GB2312" w:eastAsia="仿宋_GB2312"/>
                <w:sz w:val="21"/>
              </w:rPr>
              <w:t>⑥售后服务包含产品升级。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合同签订之日起6个月全部交付并经采购人验收合格</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按照项目内容和要求提供符合现行的国家标准或国家行政部门颁布的法律法规、规章制度以及行业标准的服务。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第一阶段完成以下任务：即北大街、糖坊街、经开院区及驻外机构（如市政府卫生所等）药品追溯信息采集系统实施完成，上线并试运行15日后，由采购人组织进行初验，初验通过后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第二阶段完成以下任务：即全院药品追溯信息采集系统稳定试运行3个月后，由采购人组织进行项目终验，终验通过后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第三阶段履约完以下任务：即从第二阶段验收合格之日后，进入3年质保期，质保到期后，如无质量、服务等问题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要求系统建设实现一院多区同质化管理，且无条件配合医院电子病历应用测评/智慧医疗测评、互联互通标准化成熟度测评、三级公立医院绩效考核、智慧医院评级、等级医院评审、信息安全等级保护测评、密评密改等评审评级工作。具体要求如下： 1.要求本项目包内所有软件系统支持适配国产操作系统与专业数据库，在国家相关部门规定的国产适配期限内，完成本项目应用软件的国产信创适配工作。 2.接口要求：要求投标方在本项目实施及质保期内无论医院是否更换第三方（如HIS）软件系统，均须完成对接，所产生费用已包含在本项目内。本项目实施及质保期内如与医院现运行系统对接过程中产生第三方接口费，须本项目中标方承担。 3.本项目包内软件系统按医院要求覆盖医院所有院区，支持多院区模式，满足一院多区使用要求。如医院指定部分系统在某一院区先上线运行，后续扩展至其他院区时，不再另行采购软件，所有院区软件费用均已包含在本项目内。 4.在项目实施与项目质保期内，须无条件配合医院电子病历应用测评/智慧医疗测评、互联互通标准化成熟度测评、三级公立医院绩效考核、智慧医院评级、等级医院评审、信息安全等级保护测评、密评密改等评审评级工作。 5.要求软件授权为永久授权，不得在软件内设置“时间炸弹”等限制，所供软件无版权纠纷，且所供软件系统不存在已知的信息安全漏洞，并具备完善的用户访问控制机制。 6.要求软件系统提供本地化部署，配合医院就诊流程再造进行软件改造和适配。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2024年度经审计的财务报告（包括四表一注，即资产负债表、利润表、现金流量表、所有者权益变动表及附注、且应当经过注册会计师行业统一监管平台备案赋码）；/或在磋商日期前六个月内其基本开户银行出具的资信证明（附《基本存款账户信息》或《银行开户许可证》复印件）； 以上2种形式的资料提供任何一种即可。 （三）具有履行合同所必需的设备和专业技术能力。 提供声明文件。 （四）具有依法缴纳税收的良好记录。 提供缴费所属日期为磋商时间前12个月内任意一个月（磋商时间当月不计入）的增值税（或所得税）缴费凭据或税务机关出具的完税证明/在法规范围内不需提供的应出具书面说明和证明文件； /或具有依法缴纳税收的诚信声明； 以上二种形式的资料提供任何一种即可。 （五）具有依法缴纳社会保障资金的良好记录。 提供供应商磋商时间前6个月中至少一个月的缴纳社会保险的凭据或社保机构开具的社会保险参保缴费情况证明，单据或证明上应有社保机构或代收机构的公章或业务专用章。依法免缴的提供相关证明材料。 （六）参加政府采购活动前3年内在经营活动中没有重大违法记录的书面声明。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附注、且应当经过注册会计师行业统一监管平台备案赋码）；/或在磋商日期前六个月内其基本开户银行出具的资信证明（附《基本存款账户信息》或《银行开户许可证》复印件）； 以上2种形式的资料提供任何一种即可。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参与的供应商（联合体）服务全部由符合政策要求的中小企业承接。残疾人福利性单位、监狱企业视同中小企业。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法定代表人授权书及本单位证明</w:t>
            </w:r>
          </w:p>
        </w:tc>
        <w:tc>
          <w:tcPr>
            <w:tcW w:type="dxa" w:w="3322"/>
          </w:tcPr>
          <w:p>
            <w:pPr>
              <w:pStyle w:val="null3"/>
            </w:pPr>
            <w:r>
              <w:rPr>
                <w:rFonts w:ascii="仿宋_GB2312" w:hAnsi="仿宋_GB2312" w:cs="仿宋_GB2312" w:eastAsia="仿宋_GB2312"/>
              </w:rPr>
              <w:t>供应商应授权合法的人员参加磋商，其中法定代表人（主要负责人）直接参加的须出具法定代表人（主要负责人）身份证并与营业执照上信息一致，法定代表人（主要负责人）委托代理人参加磋商时，应提供法定代表人（主要负责人）身份证明和法定代表人（主要负责人）委托授权书（及被授权人近三个月内在本单位社保缴纳的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响应文件的完整性、有效性、响应性</w:t>
            </w:r>
          </w:p>
        </w:tc>
        <w:tc>
          <w:tcPr>
            <w:tcW w:type="dxa" w:w="3322"/>
          </w:tcPr>
          <w:p>
            <w:pPr>
              <w:pStyle w:val="null3"/>
            </w:pPr>
            <w:r>
              <w:rPr>
                <w:rFonts w:ascii="仿宋_GB2312" w:hAnsi="仿宋_GB2312" w:cs="仿宋_GB2312" w:eastAsia="仿宋_GB2312"/>
              </w:rPr>
              <w:t>响应文件是否按照磋商文件要求的格式编写。响应文件的签署、加盖印章是否有效。响应报价是否未超过采购预算、最高限价及单价限价；响应报价有效期是否符合磋商文件的要求；是否满足磋商文件的实质性要求。</w:t>
            </w:r>
          </w:p>
        </w:tc>
        <w:tc>
          <w:tcPr>
            <w:tcW w:type="dxa" w:w="1661"/>
          </w:tcPr>
          <w:p>
            <w:pPr>
              <w:pStyle w:val="null3"/>
            </w:pPr>
            <w:r>
              <w:rPr>
                <w:rFonts w:ascii="仿宋_GB2312" w:hAnsi="仿宋_GB2312" w:cs="仿宋_GB2312" w:eastAsia="仿宋_GB2312"/>
              </w:rPr>
              <w:t>响应文件封面 分项报价表.docx 响应方案.docx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参数响应</w:t>
            </w:r>
          </w:p>
        </w:tc>
        <w:tc>
          <w:tcPr>
            <w:tcW w:type="dxa" w:w="2492"/>
          </w:tcPr>
          <w:p>
            <w:pPr>
              <w:pStyle w:val="null3"/>
            </w:pPr>
            <w:r>
              <w:rPr>
                <w:rFonts w:ascii="仿宋_GB2312" w:hAnsi="仿宋_GB2312" w:cs="仿宋_GB2312" w:eastAsia="仿宋_GB2312"/>
              </w:rPr>
              <w:t>供应商就第三章软件主要功能要求（标注▲的项）、硬件设备技术参数进行响应说明，完全满足得22分，标注▲项的每负偏离的每项扣3分，未标注▲项负偏离的每项减1.5分，扣完为止。 注：标注▲项的要求需提供相关证明材料（包括但不限于产品彩页、官网截图、功能截图、国家认可的第三方检测机构出具的检测报告等）</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制定的实施方案，至少包括①完成本项目的技术方案、试运行方案、方案实施人员组成；②交付、安装、调试方案、验收方案及措施；③风险管理和控制措施；④项目部署、维护及实施过程中的质量控制；⑤信息安全保障，进行综合打分。实施方案内容全面完整，逻辑清晰，高度契合本院追溯码建设实际需求。关键节点安排科学，风险预判精准，满足医保要求，保障措施精准具体可行，能显著提升项目实施质量得15分；每有一个模块缺项扣3分；每个模块中内容存在缺陷或不足的，扣1-3分，扣完为止。 说明：内容存在缺陷或不足是指：部分内容存在模板化倾向；部分模块（如风险控制等）缺失或过于笼统，难以判断其对本项目的实际保障能力；存在明显技术错误，与医院实际业务可能产生脱节，可执行性较差；非专门针对本项目或不适用项目特性的情形、内容不完整或缺少关键节点、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针对本项目制定的售后服务方案（包括但不限于：①售后服务内容、响应时间；②故障解决方案、专业技术人员保障及服务电话服务承诺等内容；③软件质保期外运维服务承诺；④本地化服务能力）进行综合评分： 售后服务方案完全针对本项目需求定制，内容详实且极具针对性，关键节点清晰，保障机制完善，服务承诺优于采购需求，能极大提升项目运行稳定性得12分；每有一个模块缺项扣3分；每个模块中内容存在缺陷或不足的，扣1-2分，扣完为止。 说明：内容存在缺陷或不足是指：关键节点无缺失；深度不足或存在细微瑕疵；存在明显错误，与医院实际业务可能产生脱节，可执行性较差；非专门针对本项目或不适用项目特性的情形、内容不完整或缺少关键节点、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根据供应商针对本项目制定的项目培训方案（包括但不限于：①培训目标和计划安排；②培训的内容、培训方式；③保障措施）进行综合评分： 培训方案针对性极强，深度结合本项目业务逻辑；内容完整，涵盖目标、计划、方式、保障及考核闭环；提供高质量课件及手册，培训师资资历高，完全满足项目需求得9分；每有一个模块缺项扣3分；每个模块中内容存在缺陷或不足的，扣0.5-2分，扣完为止。 说明：内容存在缺陷或不足是指：针对性一般，存在部分通用模板痕迹；关键环节（如考核、补训）描述模糊，执行可行性一般；非专门针对本项目或不适用项目特性的情形、内容不完整或缺少关键节点、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根据供应商针对本项目制定的应急预案（包括但不限于：①应急保障方案内容；②应急保障方式；③应急保障响应流程）进行综合评分： 急预案模块全齐，完全针对本项目特性定制。风险识别准确，应急资源充足，响应流程闭环，节点清晰，所引标准正确，具有极强的可操作性，能有效保障本项目实施的得6分；每有一个模块缺项扣2分；每个模块中内容存在缺陷或不足的，扣0.5-1分，扣完为止。 说明：内容存在缺陷或不足是指：个别非关键性缺陷（如细节描述不够详尽）；存在明显缺陷（如流程节点缺失、前后矛盾、承诺难以落地等）；非专门针对本项目或不适用项目特性的情形、内容不完整或缺少关键节点、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保密管理措施</w:t>
            </w:r>
          </w:p>
        </w:tc>
        <w:tc>
          <w:tcPr>
            <w:tcW w:type="dxa" w:w="2492"/>
          </w:tcPr>
          <w:p>
            <w:pPr>
              <w:pStyle w:val="null3"/>
            </w:pPr>
            <w:r>
              <w:rPr>
                <w:rFonts w:ascii="仿宋_GB2312" w:hAnsi="仿宋_GB2312" w:cs="仿宋_GB2312" w:eastAsia="仿宋_GB2312"/>
              </w:rPr>
              <w:t>根据供应商提供的保密管理措施（包括但不限于：①保密承诺；②保密控制制度、③签订保密协议等）进行综合评审： 保密管理措施极具针对性，完全覆盖本项目保密需求。包含保密承诺书、保密控制制度及规范的协议模板；方案与本项目业务深度结合，可操作性强得3分；每有一个模块缺项扣1分；每个模块中内容存在缺陷的，扣0.1-0.5分，扣完为止。 说明：内容存在缺陷是指：非专门针对本项目或不适用项目特性的情形、内容不完整或缺少关键节点、内容前后矛盾、涉及的规范及标准错误、不利于项目实施、不可能实现的情形等任意一种情形。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1.项目经理： 具备有效的信息系统项目管理师认证或人社部门颁发的信息类高级职称证书，得2分。 2.团队成员（除项目经理外）： 具有人社部门颁发的信息类中级及以上职称证书，每提供一个得1.5分，同一人不重复计分，最多得6分。 注：提供证书复印件和供应商为其缴纳的磋商时间前6个月内任意一个月社保缴费证明，未提供不得分）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供应商或软件产品厂家提供2023年1月1日至今具有同类项目（医保相关数据服务或信息平台服务类或医保相关信息系统开发）业绩（以合同复印件为准），每有1份得1分，最高得10分。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满足磋商文件要求且最终磋商价格最低的报价为评审基准价，其价格分为满分。其他供应商的价格分统一按照下列公式计算：磋商报价得分=(评审基准价／磋商报价)×15。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