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版本号：JXRC-25121320260122001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业务内网支撑平台改造项目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JXRC-251213</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业务内网支撑平台改造项目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JXRC-251213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业务内网支撑平台改造项目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配合完成西安市卫健委要求的《西安市全民健康信息平台升级建设项目》建设、与西安市检验结果汇聚共享平台进行数据对接及共享互认工作、以及采购人进行自助机升级对接的三项工作，实现医院数据标准化、互通化，打通数据壁垒；提高医疗资源利用率，减轻人民群众看病就医负担；提升患者就医体验和医疗效率。特开展西安市全民健康信息平台升级医院数据接入、医院检验结果汇聚共享平台接入及自助机对接三项内容的建设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采购包1（业务内网支撑平台改造）：属于专门面向中小企业采购。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告：法人提供会计师事务所出具的完整的2024年度审计报告（成立时间至提交投标文件截止时间不足一年的可提供成立后任意时段的资产负债表)，或开标前6个月内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法人提供自2025年6月1日以来至少一个月的纳税证明或完税证明，纳税证明或完税证明上应有代收机构或税务机关的公章或业务专用章；其他组织和自然人提供自2025年6月1日以来至少一个月缴纳税收的凭据；依法免税的供应商应提供相关文件证明；</w:t>
      </w:r>
    </w:p>
    <w:p>
      <w:pPr>
        <w:pStyle w:val="null3"/>
      </w:pPr>
      <w:r>
        <w:rPr>
          <w:rFonts w:ascii="仿宋_GB2312" w:hAnsi="仿宋_GB2312" w:cs="仿宋_GB2312" w:eastAsia="仿宋_GB2312"/>
        </w:rPr>
        <w:t>4、社会保障资金缴纳证明：提供自2025年6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人/负责人授权书：法定代表人/负责人直接参加投标的，只须递交《法定代表人/负责人身份证明书》，法定代表人/负责人授权代表参加投标的，须递交《法定代表人/负责人授权委托书》，以及授权代表开标截止前近三个月社会保险缴纳证明；</w:t>
      </w:r>
    </w:p>
    <w:p>
      <w:pPr>
        <w:pStyle w:val="null3"/>
      </w:pPr>
      <w:r>
        <w:rPr>
          <w:rFonts w:ascii="仿宋_GB2312" w:hAnsi="仿宋_GB2312" w:cs="仿宋_GB2312" w:eastAsia="仿宋_GB2312"/>
        </w:rPr>
        <w:t>6、无重大违法记录：参加本次政府采购活动前三年内，在经营活动中没有重大违法记录，提供《无重大违法记录声明》；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代理服务费收费标准：参照原中华人民共和国国家计划委员会计价格[2002]1980号文下浮25%计算收取，代理服务费不足伍仟元时，按伍仟元收取。具体收费额以采购代理机构出具的发票为准。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配合完成西安市卫健委要求的《西安市全民健康信息平台升级建设项目》建设、与西安市检验结果汇聚共享平台进行数据对接及共享互认工作、以及采购人进行自助机升级对接的三项工作，实现医院数据标准化、互通化，打通数据壁垒；提高医疗资源利用率，减轻人民群众看病就医负担；提升患者就医体验和医疗效率。特开展西安市全民健康信息平台升级医院数据接入、医院检验结果汇聚共享平台接入及自助机对接三项内容的建设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业务内网支撑改造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标的名称：业务内网支撑改造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一、服务内容</w:t>
            </w:r>
          </w:p>
          <w:p>
            <w:pPr>
              <w:pStyle w:val="null3"/>
            </w:pPr>
            <w:r>
              <w:rPr>
                <w:rFonts w:ascii="仿宋_GB2312" w:hAnsi="仿宋_GB2312" w:cs="仿宋_GB2312" w:eastAsia="仿宋_GB2312"/>
                <w:sz w:val="24"/>
              </w:rPr>
              <w:t>1</w:t>
            </w:r>
            <w:r>
              <w:rPr>
                <w:rFonts w:ascii="仿宋_GB2312" w:hAnsi="仿宋_GB2312" w:cs="仿宋_GB2312" w:eastAsia="仿宋_GB2312"/>
                <w:sz w:val="24"/>
              </w:rPr>
              <w:t>、西安市全民健康信息平台升级医院数据接入</w:t>
            </w:r>
          </w:p>
          <w:p>
            <w:pPr>
              <w:pStyle w:val="null3"/>
            </w:pPr>
            <w:r>
              <w:rPr>
                <w:rFonts w:ascii="仿宋_GB2312" w:hAnsi="仿宋_GB2312" w:cs="仿宋_GB2312" w:eastAsia="仿宋_GB2312"/>
                <w:sz w:val="24"/>
              </w:rPr>
              <w:t>2</w:t>
            </w:r>
            <w:r>
              <w:rPr>
                <w:rFonts w:ascii="仿宋_GB2312" w:hAnsi="仿宋_GB2312" w:cs="仿宋_GB2312" w:eastAsia="仿宋_GB2312"/>
                <w:sz w:val="24"/>
              </w:rPr>
              <w:t>、医院检验结果汇聚共享平台</w:t>
            </w:r>
          </w:p>
          <w:p>
            <w:pPr>
              <w:pStyle w:val="null3"/>
            </w:pPr>
            <w:r>
              <w:rPr>
                <w:rFonts w:ascii="仿宋_GB2312" w:hAnsi="仿宋_GB2312" w:cs="仿宋_GB2312" w:eastAsia="仿宋_GB2312"/>
                <w:sz w:val="24"/>
              </w:rPr>
              <w:t>3</w:t>
            </w:r>
            <w:r>
              <w:rPr>
                <w:rFonts w:ascii="仿宋_GB2312" w:hAnsi="仿宋_GB2312" w:cs="仿宋_GB2312" w:eastAsia="仿宋_GB2312"/>
                <w:sz w:val="24"/>
              </w:rPr>
              <w:t>、自助机对接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二、技术要求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严格按照上级单位下发的《西安市全民健康信息平台升级建设项目数据接入指南》要求与《西安市全民健康信息平台-业务系统标准规范》、《西安市全民健康信息平台-数据集标准规范》等接口规范标准进行系统对标改造，完成本项数据接入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、严格按照上级单位下发的《7-1-4西安市卫生健康委员会关于 转发省卫生健康委加强检查检验结果互认监测评估工作的通知》要求与《西安市检验结果汇聚共享平台用户接入手册》、《检验结果汇聚共享平台数据标准》、《西安市卫生健康信息化标准规范第三部分：数据交互标准规范》等接口规范标准进行系统对标改造，完成本项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、根据医院实际业务流程，向自助机厂商提供对接标准化服务，配合自助机厂商完成对接集成工作。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三、服务要求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、现场实施需派驻具备对接类项目实施经验的技术人员，同时达到以下服务标准：</w:t>
            </w:r>
          </w:p>
          <w:p>
            <w:pPr>
              <w:pStyle w:val="null3"/>
            </w:pPr>
            <w:r>
              <w:rPr>
                <w:rFonts w:ascii="仿宋_GB2312" w:hAnsi="仿宋_GB2312" w:cs="仿宋_GB2312" w:eastAsia="仿宋_GB2312"/>
                <w:sz w:val="24"/>
              </w:rPr>
              <w:t>（1）实施服务标准：需对项目实施过程做每周进度管理，梳理医院业务流程及标准交互场景；</w:t>
            </w:r>
          </w:p>
          <w:p>
            <w:pPr>
              <w:pStyle w:val="null3"/>
            </w:pPr>
            <w:r>
              <w:rPr>
                <w:rFonts w:ascii="仿宋_GB2312" w:hAnsi="仿宋_GB2312" w:cs="仿宋_GB2312" w:eastAsia="仿宋_GB2312"/>
                <w:sz w:val="24"/>
              </w:rPr>
              <w:t>（2）培训服务标准：需对信息管理人员进行系统维护培训；对临床科室及业务科室的人员进行系统操作培训。</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项目实施期间严格按照人员配置要求，安排人员到场实施，结合人员角色、工作任务及具体工作内容输出对应文档资料，按计划节点完成工作内容。确保各类接口设计全面、开发达标、测试完整、培训到位、上线稳定、运行正常、需求响应及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自合同签订之日起90个工作日内完成所有相关服务。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成交供应商保证对所交付的服务成果不侵犯第三方的权利，否则按照合同总额的5%向采购人支付违约金，并承担因此给采购人造成的所有损失。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1、付款方式（采购文件中有表述不一致的地方以此处为准）： 合同签订生效后30日内支付合同金额的95%，验收满一年后30日内无息支付合同金额的5%。甲方每次付款前，乙方应向甲方出具等额合规的发票，因乙方延迟出具发票的，甲方有权拒付任何款项且不承担任何责任，同时并不因此免除乙方的任意合同义务。 2、进度要求 （1）西安市全民健康信息平台升级医院数据接入工作严格按照上级单位下发通知的进度要求，完成各阶段的工作任务。 （2）医院检验结果汇聚共享平台对接工作严格按照上级单位下发通知的进度要求，完成各阶段的工作任务。 （3）自助机对接合同签订后90个工作日内完成上线应用。 3、成果交付要求 （1）完成接口改造及联调测试 根据上级单位下发的接口规范文档,进行医院内部系统接口改造，对接各类接口，并进行联调测试通过。 （2）完成接口验收及上线工作 完成各类接口服务联调测试通过后，向对应的主管部门申请接口验收，并协助完成最终系统的上线工作。 4、质量验收标准或规范 质量达到现行合格标准，符合国家、行业、地方规定以及采购人规定的合格质量及安全标准要求。 5、质保期：一年。 6、供应商未被列入相关部门“黑名单”以及有行贿、串标等违法违规行为；进入相关部门“黑名单”的供应商以及有行贿、串标等违法违规行为并经查实的供应商不能参与招标人采购项目的投标活动。对“黑名单”中供应商采取“一票否决”及“随时叫停”机制，在报名、资格审核、评审、公示、合同签订等各环节一旦发现并查实有行贿等违法违规行为的，立即取消其相关资格且终止合同签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6月1日以来至少一个月的纳税证明或完税证明，纳税证明或完税证明上应有代收机构或税务机关的公章或业务专用章；其他组织和自然人提供自2025年6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提供自2025年6月1日以来至少一个月已缴纳的社会保障资金的证明（社会保障资金缴存单据或社保机构开具的社会保险参保缴费情况证明等)；依法不需要缴纳社会保障资金的供应商应提供相关证明文件；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投标的，只须递交《法定代表人/负责人身份证明书》，法定代表人/负责人授权代表参加投标的，须递交《法定代表人/负责人授权委托书》，以及授权代表开标截止前近三个月社会保险缴纳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供应商业绩 响应文件封面 其他材料 残疾人福利性单位声明函 供应商基本信息 供应商企业关联关系声明函 服务方案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括：①按照第三章3.2服务内容及服务要求中“二、技术要求的1-3条内容”，提供接口规范标准进行系统对标改造方案；②技术实施保障措施、技术力量配备方案；③应急突发状况处置措施；④项目上线与运行保障。 二、评审标准 1、完整性：方案须全面合理，架构完整对评审内容中的各项要求有详细描述； 2、可实施性：切合本项目实际情况，实施步骤清晰、合理； 3、针对性：方案能够紧扣本项目实际情况，内容科学合理。 三、赋分依据（满分16分） 上述4项评审内容全部满足评审标准得16分；每有一个评审内容缺项扣4分，扣完为止；每有一项评审内容存在缺陷，扣（0-4）分。未提供得0分。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一、评审内容 供应商针对本项目提供故障响应方案，内容包括：①故障识别和报告机制；②故障分析和定位；③故障恢复（含具体的故障恢复响应时间）、沟通反馈机制。 二、评审标准 1、完整性：方案须全面合理，架构完整对评审内容中的各项要求有详细描述； 2、可实施性：切合本项目实际情况，实施步骤清晰、合理； 3、针对性：方案能够紧扣本项目实际情况，内容科学合理。 三、赋分依据（满分15分） 上述3项评审内容全部满足评审标准得15分；每有一个评审内容缺项扣5分，扣完为止；每有一项评审内容存在缺陷，扣（0-5）分。未提供得0分。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进度计划保障方案</w:t>
            </w:r>
          </w:p>
        </w:tc>
        <w:tc>
          <w:tcPr>
            <w:tcW w:type="dxa" w:w="2492"/>
          </w:tcPr>
          <w:p>
            <w:pPr>
              <w:pStyle w:val="null3"/>
            </w:pPr>
            <w:r>
              <w:rPr>
                <w:rFonts w:ascii="仿宋_GB2312" w:hAnsi="仿宋_GB2312" w:cs="仿宋_GB2312" w:eastAsia="仿宋_GB2312"/>
              </w:rPr>
              <w:t>一、评审内容 供应商针对本项目提供进度计划保障方案，内容包括：①详细完整的部署、上线、测试方案；②项目进度计划保障措施。 二、评审标准 1、完整性：方案须全面合理，架构完整对评审内容中的各项要求有详细描述； 2、可实施性：切合本项目实际情况，实施步骤清晰、合理； 3、针对性：方案能够紧扣本项目实际情况，内容科学合理。 三、赋分依据（满分12分） 上述2项评审内容全部满足评审标准得12分；每有一个评审内容缺项扣6分，扣完为止；每有一项评审内容存在缺陷，扣（0-6）分。未提供得0分。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一、评审内容 供应商针对本项目提供培训及售后服务方案，内容包括：①培训方案（内容包括但不限于：培训内容、培训效果保证措施等）；②售后服务内容、售后人员配置；③售后服务响应时间及方式、售后服务应急响应措施及保障体系。 二、评审标准 1、完整性：方案须全面合理，架构完整对评审内容中的各项要求有详细描述； 2、可实施性：切合本项目实际情况，实施步骤清晰、合理； 3、针对性：方案能够紧扣本项目实际情况，内容科学合理。 三、赋分依据（满分15分） 上述3项评审内容全部满足评审标准得15分；每有一个评审内容缺项扣5分，扣完为止；每有一项评审内容存在缺陷，扣（0-5）分。未提供得0分。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供应商针对本项目提供人员配置方案，内容包括：①拟投入本项目负责人工作经验及专业水平的证明资料（包括但不限于项目负责人学历证、身份证、相关证书等）；②拟投入参与本项目的人员不少于2位且具备对接类项目实施经验，每人须提供1份相关证明资料，未提供或未按照要求提供的不得分；③提供包括但不限于明确的组织形式、人员结构、职责任务明确、实施工作计划及人员、时间安排等。 二、评审标准 1、完整性：方案须全面合理，架构完整对评审内容中的各项要求有详细描述； 2、可实施性：切合本项目实际情况，实施步骤清晰、合理； 3、针对性：方案能够紧扣本项目实际情况，内容科学合理。 三、赋分依据（满分12分） 上述3项评审内容全部满足评审标准得12分；每有一个评审内容缺项扣4分，扣完为止；每有一项评审内容存在缺陷，扣（0-4）分。未提供得0分。 说明：缺陷是指内容没有结合项目实际需求、虽有内容但不完善、内容表述前后不一致或与项目需求不匹配及其他不利于项目实施的等任意一种情形。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提供供应商自2022年12月1日至响应文件递交截止时间前（以合同签订时间为准）同类项目业绩，需提供完整且清晰有效的合同复印件，每提供一份完整资料得2分，最多得10分。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价格分统一采用低价优先法计算，即满足磋商文件要求且磋商价格最低的磋商报价为评标基准价，其价格分为满分。其他供应商的价格分统一按照下列公式计算：磋商报价得分=(评标基准价／磋商报价)×20。 注：此处价格分计算以分项报价表中磋商总报价为计算依据。</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