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版本号：SCZE2025-CS-3289-00120260107001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标识、导视系统设计、制作安装项目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SCZE2025-CS-3289-001</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标识、导视系统设计、制作安装项目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SCZE2025-CS-3289-001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标识、导视系统设计、制作安装项目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标识、导视系统设计、制作安装项目，详见采购需求。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采购包1（标识、导视系统设计、制作安装项目）：属于专门面向中小企业采购。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参加本项目的合法授权人授权委托书；供应商应授权合法的人员参加投标全过程，其中法定代表人直接参加磋商的，须出具法人身份证，并与营业执照上信息一致。法定代表人授权代表参加磋商的，须出具法定代表人授权书及授权代表身份证、授权代表本单位证明（近三个月养老保险缴纳证明）；</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吴昊、李江西、马超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 （1）招标代理服务费由中标单位在领取中标通知书前向招标代理机构支付。 （2）招标代理服务费收取标准依据《国家计委关于印发&lt;招标代理服务收费管理暂行办法&gt;的通知》（计价格[2002]1980号）、《国家发展和改革委员会办公厅关于招标代理服务收费有关问题的通知》（发改办价格[2003]857号）文件的规定下浮20%计取。 招标代理服务费可以现金或转账方式缴纳： 名 称：陕西省采购招标有限责任公司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医院标识导视系统的建设是提升医疗服务质量、优化患者就医体验的重要举措。本次采购本院区、曲江院区、南院区标识、导视系统设计、制作安装项目。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标识、导视系统设计、制作安装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标的名称：标识、导视系统设计、制作安装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6"/>
              <w:gridCol w:w="365"/>
              <w:gridCol w:w="860"/>
              <w:gridCol w:w="677"/>
              <w:gridCol w:w="208"/>
              <w:gridCol w:w="287"/>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类别</w:t>
                  </w: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配置内容</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规格型号</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限价（元）</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科室牌</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厚度大于等于6mm亚克力背面UV打印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35x22cm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厚度大于等于6mmPVC+户外高清覆膜写真</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35x22cm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亚克力双面立体门牌（底座厚度15mm宽度40mm  面板8mm+8mm画面UV/丝印 ）</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35x22cm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10mm</w:t>
                  </w:r>
                  <w:r>
                    <w:rPr>
                      <w:rFonts w:ascii="仿宋_GB2312" w:hAnsi="仿宋_GB2312" w:cs="仿宋_GB2312" w:eastAsia="仿宋_GB2312"/>
                      <w:sz w:val="24"/>
                    </w:rPr>
                    <w:t>亚克力底座</w:t>
                  </w:r>
                </w:p>
                <w:p>
                  <w:pPr>
                    <w:pStyle w:val="null3"/>
                    <w:jc w:val="both"/>
                  </w:pPr>
                  <w:r>
                    <w:rPr>
                      <w:rFonts w:ascii="仿宋_GB2312" w:hAnsi="仿宋_GB2312" w:cs="仿宋_GB2312" w:eastAsia="仿宋_GB2312"/>
                      <w:sz w:val="24"/>
                    </w:rPr>
                    <w:t>8mm</w:t>
                  </w:r>
                  <w:r>
                    <w:rPr>
                      <w:rFonts w:ascii="仿宋_GB2312" w:hAnsi="仿宋_GB2312" w:cs="仿宋_GB2312" w:eastAsia="仿宋_GB2312"/>
                      <w:sz w:val="24"/>
                    </w:rPr>
                    <w:t>亚克力双面立体科牌，内容可更换</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18x39cm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制度牌</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厚度大于等于6mm亚克力背面UV</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50x70cm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125</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KT</w:t>
                  </w:r>
                  <w:r>
                    <w:rPr>
                      <w:rFonts w:ascii="仿宋_GB2312" w:hAnsi="仿宋_GB2312" w:cs="仿宋_GB2312" w:eastAsia="仿宋_GB2312"/>
                      <w:sz w:val="24"/>
                      <w:color w:val="000000"/>
                    </w:rPr>
                    <w:t>板+户外背胶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50x70cm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PVC</w:t>
                  </w:r>
                  <w:r>
                    <w:rPr>
                      <w:rFonts w:ascii="仿宋_GB2312" w:hAnsi="仿宋_GB2312" w:cs="仿宋_GB2312" w:eastAsia="仿宋_GB2312"/>
                      <w:sz w:val="24"/>
                      <w:color w:val="000000"/>
                    </w:rPr>
                    <w:t>（厚度大于等于6mm）+户外背胶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平方米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病房号</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5mm</w:t>
                  </w:r>
                  <w:r>
                    <w:rPr>
                      <w:rFonts w:ascii="仿宋_GB2312" w:hAnsi="仿宋_GB2312" w:cs="仿宋_GB2312" w:eastAsia="仿宋_GB2312"/>
                      <w:sz w:val="24"/>
                      <w:color w:val="000000"/>
                    </w:rPr>
                    <w:t>亚克力，背面烤漆、丝印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Φ15cm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地贴</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可移除车贴</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150x80cm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车贴+地贴保护膜大于等于120g</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平方米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磨砂透明车贴</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宽12x长100cm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宣传展板</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3mm</w:t>
                  </w:r>
                  <w:r>
                    <w:rPr>
                      <w:rFonts w:ascii="仿宋_GB2312" w:hAnsi="仿宋_GB2312" w:cs="仿宋_GB2312" w:eastAsia="仿宋_GB2312"/>
                      <w:sz w:val="24"/>
                      <w:color w:val="000000"/>
                    </w:rPr>
                    <w:t>亚克力面板+超卡板+高精户外背胶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平方米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170</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超卡板+高精户外背胶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平方米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PVC</w:t>
                  </w:r>
                  <w:r>
                    <w:rPr>
                      <w:rFonts w:ascii="仿宋_GB2312" w:hAnsi="仿宋_GB2312" w:cs="仿宋_GB2312" w:eastAsia="仿宋_GB2312"/>
                      <w:sz w:val="24"/>
                      <w:color w:val="000000"/>
                    </w:rPr>
                    <w:t>（5mm）+高精户外背胶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平方米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125</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展架</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铝合金方管（4*4cm），木纹效果（表面颜色）可开启，边框（不含画面）壁厚大于等于1.2mm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120x90cm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可移动不锈钢立地双面展架（不含画面）</w:t>
                  </w:r>
                </w:p>
                <w:p>
                  <w:pPr>
                    <w:pStyle w:val="null3"/>
                    <w:jc w:val="both"/>
                  </w:pPr>
                  <w:r>
                    <w:rPr>
                      <w:rFonts w:ascii="仿宋_GB2312" w:hAnsi="仿宋_GB2312" w:cs="仿宋_GB2312" w:eastAsia="仿宋_GB2312"/>
                      <w:sz w:val="24"/>
                      <w:color w:val="000000"/>
                    </w:rPr>
                    <w:t>壁厚大于等于1.2mm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75x150cm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400</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X</w:t>
                  </w:r>
                  <w:r>
                    <w:rPr>
                      <w:rFonts w:ascii="仿宋_GB2312" w:hAnsi="仿宋_GB2312" w:cs="仿宋_GB2312" w:eastAsia="仿宋_GB2312"/>
                      <w:sz w:val="24"/>
                      <w:color w:val="000000"/>
                    </w:rPr>
                    <w:t>展架，防风加强（灰背画面）</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80x180cm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83</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奖牌</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木质奖牌（腐蚀工艺）</w:t>
                  </w:r>
                </w:p>
                <w:p>
                  <w:pPr>
                    <w:pStyle w:val="null3"/>
                    <w:jc w:val="both"/>
                  </w:pPr>
                  <w:r>
                    <w:rPr>
                      <w:rFonts w:ascii="仿宋_GB2312" w:hAnsi="仿宋_GB2312" w:cs="仿宋_GB2312" w:eastAsia="仿宋_GB2312"/>
                      <w:sz w:val="24"/>
                      <w:color w:val="000000"/>
                    </w:rPr>
                    <w:t>厚度：</w:t>
                  </w:r>
                  <w:r>
                    <w:rPr>
                      <w:rFonts w:ascii="仿宋_GB2312" w:hAnsi="仿宋_GB2312" w:cs="仿宋_GB2312" w:eastAsia="仿宋_GB2312"/>
                      <w:sz w:val="21"/>
                    </w:rPr>
                    <w:t>1.5cm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60x40cm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85</w:t>
                  </w:r>
                </w:p>
              </w:tc>
            </w:tr>
            <w:tr>
              <w:tc>
                <w:tcPr>
                  <w:tcW w:type="dxa" w:w="156"/>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铜牌（钛金拉丝，内容腐蚀工艺）</w:t>
                  </w:r>
                </w:p>
                <w:p>
                  <w:pPr>
                    <w:pStyle w:val="null3"/>
                    <w:jc w:val="both"/>
                  </w:pPr>
                  <w:r>
                    <w:rPr>
                      <w:rFonts w:ascii="仿宋_GB2312" w:hAnsi="仿宋_GB2312" w:cs="仿宋_GB2312" w:eastAsia="仿宋_GB2312"/>
                      <w:sz w:val="24"/>
                      <w:color w:val="000000"/>
                    </w:rPr>
                    <w:t>厚度：</w:t>
                  </w:r>
                  <w:r>
                    <w:rPr>
                      <w:rFonts w:ascii="仿宋_GB2312" w:hAnsi="仿宋_GB2312" w:cs="仿宋_GB2312" w:eastAsia="仿宋_GB2312"/>
                      <w:sz w:val="21"/>
                    </w:rPr>
                    <w:t>2.5cm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60x40cm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横幅</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70cm</w:t>
                  </w:r>
                  <w:r>
                    <w:rPr>
                      <w:rFonts w:ascii="仿宋_GB2312" w:hAnsi="仿宋_GB2312" w:cs="仿宋_GB2312" w:eastAsia="仿宋_GB2312"/>
                      <w:sz w:val="24"/>
                      <w:color w:val="000000"/>
                    </w:rPr>
                    <w:t>高条幅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招贴</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户外相纸/PP纸</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60</w:t>
                  </w:r>
                  <w:r>
                    <w:rPr>
                      <w:rFonts w:ascii="仿宋_GB2312" w:hAnsi="仿宋_GB2312" w:cs="仿宋_GB2312" w:eastAsia="仿宋_GB2312"/>
                      <w:sz w:val="24"/>
                      <w:color w:val="000000"/>
                    </w:rPr>
                    <w:t>x</w:t>
                  </w:r>
                  <w:r>
                    <w:rPr>
                      <w:rFonts w:ascii="仿宋_GB2312" w:hAnsi="仿宋_GB2312" w:cs="仿宋_GB2312" w:eastAsia="仿宋_GB2312"/>
                      <w:sz w:val="24"/>
                    </w:rPr>
                    <w:t>90cm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户外导视</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2mm</w:t>
                  </w:r>
                  <w:r>
                    <w:rPr>
                      <w:rFonts w:ascii="仿宋_GB2312" w:hAnsi="仿宋_GB2312" w:cs="仿宋_GB2312" w:eastAsia="仿宋_GB2312"/>
                      <w:sz w:val="24"/>
                      <w:color w:val="000000"/>
                    </w:rPr>
                    <w:t>不锈钢焊接打磨烤漆，激光镂空雕刻，5mm亚克力吸塑板，内置LED灯</w:t>
                  </w:r>
                  <w:r>
                    <w:rPr>
                      <w:rFonts w:ascii="仿宋_GB2312" w:hAnsi="仿宋_GB2312" w:cs="仿宋_GB2312" w:eastAsia="仿宋_GB2312"/>
                      <w:sz w:val="21"/>
                    </w:rPr>
                    <w:t>条（色温</w:t>
                  </w:r>
                  <w:r>
                    <w:rPr>
                      <w:rFonts w:ascii="仿宋_GB2312" w:hAnsi="仿宋_GB2312" w:cs="仿宋_GB2312" w:eastAsia="仿宋_GB2312"/>
                      <w:sz w:val="21"/>
                    </w:rPr>
                    <w:t xml:space="preserve">6000K </w:t>
                  </w:r>
                  <w:r>
                    <w:rPr>
                      <w:rFonts w:ascii="仿宋_GB2312" w:hAnsi="仿宋_GB2312" w:cs="仿宋_GB2312" w:eastAsia="仿宋_GB2312"/>
                      <w:sz w:val="21"/>
                    </w:rPr>
                    <w:t>发光部分每平方米</w:t>
                  </w:r>
                  <w:r>
                    <w:rPr>
                      <w:rFonts w:ascii="仿宋_GB2312" w:hAnsi="仿宋_GB2312" w:cs="仿宋_GB2312" w:eastAsia="仿宋_GB2312"/>
                      <w:sz w:val="21"/>
                    </w:rPr>
                    <w:t>80</w:t>
                  </w:r>
                  <w:r>
                    <w:rPr>
                      <w:rFonts w:ascii="仿宋_GB2312" w:hAnsi="仿宋_GB2312" w:cs="仿宋_GB2312" w:eastAsia="仿宋_GB2312"/>
                      <w:sz w:val="21"/>
                    </w:rPr>
                    <w:t>珠以上，每平方米</w:t>
                  </w:r>
                  <w:r>
                    <w:rPr>
                      <w:rFonts w:ascii="仿宋_GB2312" w:hAnsi="仿宋_GB2312" w:cs="仿宋_GB2312" w:eastAsia="仿宋_GB2312"/>
                      <w:sz w:val="24"/>
                      <w:color w:val="000000"/>
                    </w:rPr>
                    <w:t>大于等于</w:t>
                  </w:r>
                  <w:r>
                    <w:rPr>
                      <w:rFonts w:ascii="仿宋_GB2312" w:hAnsi="仿宋_GB2312" w:cs="仿宋_GB2312" w:eastAsia="仿宋_GB2312"/>
                      <w:sz w:val="21"/>
                    </w:rPr>
                    <w:t>80</w:t>
                  </w:r>
                  <w:r>
                    <w:rPr>
                      <w:rFonts w:ascii="仿宋_GB2312" w:hAnsi="仿宋_GB2312" w:cs="仿宋_GB2312" w:eastAsia="仿宋_GB2312"/>
                      <w:sz w:val="21"/>
                    </w:rPr>
                    <w:t>瓦）</w:t>
                  </w:r>
                  <w:r>
                    <w:rPr>
                      <w:rFonts w:ascii="仿宋_GB2312" w:hAnsi="仿宋_GB2312" w:cs="仿宋_GB2312" w:eastAsia="仿宋_GB2312"/>
                      <w:sz w:val="24"/>
                      <w:color w:val="000000"/>
                    </w:rPr>
                    <w:t>（造型参考院区导视）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100x220</w:t>
                  </w:r>
                  <w:r>
                    <w:rPr>
                      <w:rFonts w:ascii="仿宋_GB2312" w:hAnsi="仿宋_GB2312" w:cs="仿宋_GB2312" w:eastAsia="仿宋_GB2312"/>
                      <w:sz w:val="24"/>
                    </w:rPr>
                    <w:t>x10c</w:t>
                  </w:r>
                  <w:r>
                    <w:rPr>
                      <w:rFonts w:ascii="仿宋_GB2312" w:hAnsi="仿宋_GB2312" w:cs="仿宋_GB2312" w:eastAsia="仿宋_GB2312"/>
                      <w:sz w:val="24"/>
                    </w:rPr>
                    <w:t>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2500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户外提醒类/警示牌</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PVC</w:t>
                  </w:r>
                  <w:r>
                    <w:rPr>
                      <w:rFonts w:ascii="仿宋_GB2312" w:hAnsi="仿宋_GB2312" w:cs="仿宋_GB2312" w:eastAsia="仿宋_GB2312"/>
                      <w:sz w:val="24"/>
                      <w:color w:val="000000"/>
                    </w:rPr>
                    <w:t>（厚度大于等于10mm）+画面为平板UV打印/丝印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60x80cm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反光标牌</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2mm</w:t>
                  </w:r>
                  <w:r>
                    <w:rPr>
                      <w:rFonts w:ascii="仿宋_GB2312" w:hAnsi="仿宋_GB2312" w:cs="仿宋_GB2312" w:eastAsia="仿宋_GB2312"/>
                      <w:sz w:val="24"/>
                      <w:color w:val="000000"/>
                    </w:rPr>
                    <w:t>铝板+反光膜+立柱</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Φ80cm x高3m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亚克力 桌牌</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亚克力磁吸+内页</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A4</w:t>
                  </w:r>
                  <w:r>
                    <w:rPr>
                      <w:rFonts w:ascii="仿宋_GB2312" w:hAnsi="仿宋_GB2312" w:cs="仿宋_GB2312" w:eastAsia="仿宋_GB2312"/>
                      <w:sz w:val="24"/>
                      <w:color w:val="000000"/>
                    </w:rPr>
                    <w:t>（210*297mm）</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室内立式导视</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厚度大于等于1.2mm不锈钢烤漆</w:t>
                  </w:r>
                </w:p>
                <w:p>
                  <w:pPr>
                    <w:pStyle w:val="null3"/>
                    <w:jc w:val="both"/>
                  </w:pPr>
                  <w:r>
                    <w:rPr>
                      <w:rFonts w:ascii="仿宋_GB2312" w:hAnsi="仿宋_GB2312" w:cs="仿宋_GB2312" w:eastAsia="仿宋_GB2312"/>
                      <w:sz w:val="24"/>
                      <w:color w:val="000000"/>
                    </w:rPr>
                    <w:t>正面厚度大于等于0.8mm亚克力烤漆丝印（造型参考院区导视）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80x200x10cm</w:t>
                  </w:r>
                </w:p>
                <w:p>
                  <w:pPr>
                    <w:pStyle w:val="null3"/>
                    <w:jc w:val="center"/>
                  </w:pPr>
                  <w:r>
                    <w:rPr>
                      <w:rFonts w:ascii="仿宋_GB2312" w:hAnsi="仿宋_GB2312" w:cs="仿宋_GB2312" w:eastAsia="仿宋_GB2312"/>
                      <w:sz w:val="24"/>
                      <w:color w:val="000000"/>
                    </w:rPr>
                    <w:t>（底座：80宽x60深x10厚）</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2300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室内吊式发光灯箱（大）</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厚度大于等于1.2mm不锈钢烤漆</w:t>
                  </w:r>
                </w:p>
                <w:p>
                  <w:pPr>
                    <w:pStyle w:val="null3"/>
                    <w:jc w:val="both"/>
                  </w:pPr>
                  <w:r>
                    <w:rPr>
                      <w:rFonts w:ascii="仿宋_GB2312" w:hAnsi="仿宋_GB2312" w:cs="仿宋_GB2312" w:eastAsia="仿宋_GB2312"/>
                      <w:sz w:val="24"/>
                      <w:color w:val="000000"/>
                    </w:rPr>
                    <w:t>双面厚度大于等于4mm厚亚克力烤漆丝印</w:t>
                  </w:r>
                </w:p>
                <w:p>
                  <w:pPr>
                    <w:pStyle w:val="null3"/>
                    <w:jc w:val="both"/>
                  </w:pPr>
                  <w:r>
                    <w:rPr>
                      <w:rFonts w:ascii="仿宋_GB2312" w:hAnsi="仿宋_GB2312" w:cs="仿宋_GB2312" w:eastAsia="仿宋_GB2312"/>
                      <w:sz w:val="24"/>
                      <w:color w:val="000000"/>
                    </w:rPr>
                    <w:t>内装LED发光灯条</w:t>
                  </w:r>
                </w:p>
                <w:p>
                  <w:pPr>
                    <w:pStyle w:val="null3"/>
                    <w:jc w:val="both"/>
                  </w:pPr>
                  <w:r>
                    <w:rPr>
                      <w:rFonts w:ascii="仿宋_GB2312" w:hAnsi="仿宋_GB2312" w:cs="仿宋_GB2312" w:eastAsia="仿宋_GB2312"/>
                      <w:sz w:val="24"/>
                      <w:color w:val="000000"/>
                    </w:rPr>
                    <w:t>Φ大于等于2cm圆管烤漆吊装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360cm</w:t>
                  </w:r>
                  <w:r>
                    <w:rPr>
                      <w:rFonts w:ascii="仿宋_GB2312" w:hAnsi="仿宋_GB2312" w:cs="仿宋_GB2312" w:eastAsia="仿宋_GB2312"/>
                      <w:sz w:val="24"/>
                      <w:color w:val="000000"/>
                    </w:rPr>
                    <w:t>长x51cm高x10cm厚</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2500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室内吊式发光灯箱（小）</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厚度大于等于1.2mm不锈钢烤漆</w:t>
                  </w:r>
                </w:p>
                <w:p>
                  <w:pPr>
                    <w:pStyle w:val="null3"/>
                    <w:jc w:val="both"/>
                  </w:pPr>
                  <w:r>
                    <w:rPr>
                      <w:rFonts w:ascii="仿宋_GB2312" w:hAnsi="仿宋_GB2312" w:cs="仿宋_GB2312" w:eastAsia="仿宋_GB2312"/>
                      <w:sz w:val="24"/>
                      <w:color w:val="000000"/>
                    </w:rPr>
                    <w:t>双面厚度大于等于4mm亚克力烤漆丝印</w:t>
                  </w:r>
                </w:p>
                <w:p>
                  <w:pPr>
                    <w:pStyle w:val="null3"/>
                    <w:jc w:val="both"/>
                  </w:pPr>
                  <w:r>
                    <w:rPr>
                      <w:rFonts w:ascii="仿宋_GB2312" w:hAnsi="仿宋_GB2312" w:cs="仿宋_GB2312" w:eastAsia="仿宋_GB2312"/>
                      <w:sz w:val="24"/>
                      <w:color w:val="000000"/>
                    </w:rPr>
                    <w:t>内装LED发光灯条</w:t>
                  </w:r>
                </w:p>
                <w:p>
                  <w:pPr>
                    <w:pStyle w:val="null3"/>
                    <w:jc w:val="both"/>
                  </w:pPr>
                  <w:r>
                    <w:rPr>
                      <w:rFonts w:ascii="仿宋_GB2312" w:hAnsi="仿宋_GB2312" w:cs="仿宋_GB2312" w:eastAsia="仿宋_GB2312"/>
                      <w:sz w:val="24"/>
                      <w:color w:val="000000"/>
                    </w:rPr>
                    <w:t>φ大于等于2cm圆管烤漆吊装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200cm</w:t>
                  </w:r>
                  <w:r>
                    <w:rPr>
                      <w:rFonts w:ascii="仿宋_GB2312" w:hAnsi="仿宋_GB2312" w:cs="仿宋_GB2312" w:eastAsia="仿宋_GB2312"/>
                      <w:sz w:val="24"/>
                      <w:color w:val="000000"/>
                    </w:rPr>
                    <w:t>长x20cm高x5cm厚</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室内吊式双面发光灯箱</w:t>
                  </w:r>
                </w:p>
                <w:p>
                  <w:pPr>
                    <w:pStyle w:val="null3"/>
                    <w:jc w:val="center"/>
                  </w:pPr>
                  <w:r>
                    <w:rPr>
                      <w:rFonts w:ascii="仿宋_GB2312" w:hAnsi="仿宋_GB2312" w:cs="仿宋_GB2312" w:eastAsia="仿宋_GB2312"/>
                      <w:sz w:val="24"/>
                    </w:rPr>
                    <w:t>（科室）</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厚度大于等于1.2mm不锈钢烤漆</w:t>
                  </w:r>
                </w:p>
                <w:p>
                  <w:pPr>
                    <w:pStyle w:val="null3"/>
                    <w:jc w:val="both"/>
                  </w:pPr>
                  <w:r>
                    <w:rPr>
                      <w:rFonts w:ascii="仿宋_GB2312" w:hAnsi="仿宋_GB2312" w:cs="仿宋_GB2312" w:eastAsia="仿宋_GB2312"/>
                      <w:sz w:val="24"/>
                      <w:color w:val="000000"/>
                    </w:rPr>
                    <w:t>双面厚度大于等于4mm亚克力烤漆丝印</w:t>
                  </w:r>
                </w:p>
                <w:p>
                  <w:pPr>
                    <w:pStyle w:val="null3"/>
                    <w:jc w:val="both"/>
                  </w:pPr>
                  <w:r>
                    <w:rPr>
                      <w:rFonts w:ascii="仿宋_GB2312" w:hAnsi="仿宋_GB2312" w:cs="仿宋_GB2312" w:eastAsia="仿宋_GB2312"/>
                      <w:sz w:val="24"/>
                      <w:color w:val="000000"/>
                    </w:rPr>
                    <w:t>内装LED发光灯条</w:t>
                  </w:r>
                </w:p>
                <w:p>
                  <w:pPr>
                    <w:pStyle w:val="null3"/>
                    <w:jc w:val="both"/>
                  </w:pPr>
                  <w:r>
                    <w:rPr>
                      <w:rFonts w:ascii="仿宋_GB2312" w:hAnsi="仿宋_GB2312" w:cs="仿宋_GB2312" w:eastAsia="仿宋_GB2312"/>
                      <w:sz w:val="24"/>
                      <w:color w:val="000000"/>
                    </w:rPr>
                    <w:t>Φ大于等于2cm圆管烤漆吊装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80cm</w:t>
                  </w:r>
                  <w:r>
                    <w:rPr>
                      <w:rFonts w:ascii="仿宋_GB2312" w:hAnsi="仿宋_GB2312" w:cs="仿宋_GB2312" w:eastAsia="仿宋_GB2312"/>
                      <w:sz w:val="24"/>
                      <w:color w:val="000000"/>
                    </w:rPr>
                    <w:t>长x32cm高x8cm厚</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620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室内吊式双面发光灯箱</w:t>
                  </w:r>
                </w:p>
                <w:p>
                  <w:pPr>
                    <w:pStyle w:val="null3"/>
                    <w:jc w:val="center"/>
                  </w:pPr>
                  <w:r>
                    <w:rPr>
                      <w:rFonts w:ascii="仿宋_GB2312" w:hAnsi="仿宋_GB2312" w:cs="仿宋_GB2312" w:eastAsia="仿宋_GB2312"/>
                      <w:sz w:val="24"/>
                    </w:rPr>
                    <w:t>（侧廊）</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厚度大于等于1.2mm</w:t>
                  </w:r>
                  <w:r>
                    <w:rPr>
                      <w:rFonts w:ascii="仿宋_GB2312" w:hAnsi="仿宋_GB2312" w:cs="仿宋_GB2312" w:eastAsia="仿宋_GB2312"/>
                      <w:sz w:val="24"/>
                    </w:rPr>
                    <w:t>不锈钢烤漆</w:t>
                  </w:r>
                </w:p>
                <w:p>
                  <w:pPr>
                    <w:pStyle w:val="null3"/>
                    <w:jc w:val="both"/>
                  </w:pPr>
                  <w:r>
                    <w:rPr>
                      <w:rFonts w:ascii="仿宋_GB2312" w:hAnsi="仿宋_GB2312" w:cs="仿宋_GB2312" w:eastAsia="仿宋_GB2312"/>
                      <w:sz w:val="24"/>
                    </w:rPr>
                    <w:t>双面</w:t>
                  </w:r>
                  <w:r>
                    <w:rPr>
                      <w:rFonts w:ascii="仿宋_GB2312" w:hAnsi="仿宋_GB2312" w:cs="仿宋_GB2312" w:eastAsia="仿宋_GB2312"/>
                      <w:sz w:val="24"/>
                      <w:color w:val="000000"/>
                    </w:rPr>
                    <w:t>厚度大于等于4mm</w:t>
                  </w:r>
                  <w:r>
                    <w:rPr>
                      <w:rFonts w:ascii="仿宋_GB2312" w:hAnsi="仿宋_GB2312" w:cs="仿宋_GB2312" w:eastAsia="仿宋_GB2312"/>
                      <w:sz w:val="24"/>
                    </w:rPr>
                    <w:t>亚克力烤漆丝印</w:t>
                  </w:r>
                </w:p>
                <w:p>
                  <w:pPr>
                    <w:pStyle w:val="null3"/>
                    <w:jc w:val="both"/>
                  </w:pPr>
                  <w:r>
                    <w:rPr>
                      <w:rFonts w:ascii="仿宋_GB2312" w:hAnsi="仿宋_GB2312" w:cs="仿宋_GB2312" w:eastAsia="仿宋_GB2312"/>
                      <w:sz w:val="24"/>
                    </w:rPr>
                    <w:t>内装LED发光灯条</w:t>
                  </w:r>
                </w:p>
                <w:p>
                  <w:pPr>
                    <w:pStyle w:val="null3"/>
                    <w:jc w:val="both"/>
                  </w:pPr>
                  <w:r>
                    <w:rPr>
                      <w:rFonts w:ascii="仿宋_GB2312" w:hAnsi="仿宋_GB2312" w:cs="仿宋_GB2312" w:eastAsia="仿宋_GB2312"/>
                      <w:sz w:val="24"/>
                    </w:rPr>
                    <w:t>Φ大于等于2cm圆管烤漆吊装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150cm</w:t>
                  </w:r>
                  <w:r>
                    <w:rPr>
                      <w:rFonts w:ascii="仿宋_GB2312" w:hAnsi="仿宋_GB2312" w:cs="仿宋_GB2312" w:eastAsia="仿宋_GB2312"/>
                      <w:sz w:val="24"/>
                    </w:rPr>
                    <w:t>长x32cm高x8cm厚</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亚克力</w:t>
                  </w:r>
                </w:p>
                <w:p>
                  <w:pPr>
                    <w:pStyle w:val="null3"/>
                    <w:jc w:val="center"/>
                  </w:pPr>
                  <w:r>
                    <w:rPr>
                      <w:rFonts w:ascii="仿宋_GB2312" w:hAnsi="仿宋_GB2312" w:cs="仿宋_GB2312" w:eastAsia="仿宋_GB2312"/>
                      <w:sz w:val="24"/>
                      <w:color w:val="000000"/>
                    </w:rPr>
                    <w:t>水晶字</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大于等于10mm透明亚克力</w:t>
                  </w:r>
                </w:p>
                <w:p>
                  <w:pPr>
                    <w:pStyle w:val="null3"/>
                    <w:jc w:val="both"/>
                  </w:pPr>
                  <w:r>
                    <w:rPr>
                      <w:rFonts w:ascii="仿宋_GB2312" w:hAnsi="仿宋_GB2312" w:cs="仿宋_GB2312" w:eastAsia="仿宋_GB2312"/>
                      <w:sz w:val="24"/>
                      <w:color w:val="000000"/>
                    </w:rPr>
                    <w:t>大于等于1.5mm亚克力面板</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每平米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PVC</w:t>
                  </w:r>
                  <w:r>
                    <w:rPr>
                      <w:rFonts w:ascii="仿宋_GB2312" w:hAnsi="仿宋_GB2312" w:cs="仿宋_GB2312" w:eastAsia="仿宋_GB2312"/>
                      <w:sz w:val="24"/>
                      <w:color w:val="000000"/>
                    </w:rPr>
                    <w:t>字</w:t>
                  </w:r>
                </w:p>
                <w:p>
                  <w:pPr>
                    <w:pStyle w:val="null3"/>
                    <w:jc w:val="center"/>
                  </w:pPr>
                  <w:r>
                    <w:rPr>
                      <w:rFonts w:ascii="仿宋_GB2312" w:hAnsi="仿宋_GB2312" w:cs="仿宋_GB2312" w:eastAsia="仿宋_GB2312"/>
                      <w:sz w:val="24"/>
                      <w:color w:val="000000"/>
                    </w:rPr>
                    <w:t>喷漆</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PVC</w:t>
                  </w:r>
                  <w:r>
                    <w:rPr>
                      <w:rFonts w:ascii="仿宋_GB2312" w:hAnsi="仿宋_GB2312" w:cs="仿宋_GB2312" w:eastAsia="仿宋_GB2312"/>
                      <w:sz w:val="24"/>
                      <w:color w:val="000000"/>
                    </w:rPr>
                    <w:t>（厚度大于等于1.5cm）字喷漆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每平米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户外</w:t>
                  </w:r>
                </w:p>
                <w:p>
                  <w:pPr>
                    <w:pStyle w:val="null3"/>
                    <w:jc w:val="center"/>
                  </w:pPr>
                  <w:r>
                    <w:rPr>
                      <w:rFonts w:ascii="仿宋_GB2312" w:hAnsi="仿宋_GB2312" w:cs="仿宋_GB2312" w:eastAsia="仿宋_GB2312"/>
                      <w:sz w:val="24"/>
                      <w:color w:val="000000"/>
                    </w:rPr>
                    <w:t>不锈钢字</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户外不锈钢字烤漆</w:t>
                  </w:r>
                </w:p>
                <w:p>
                  <w:pPr>
                    <w:pStyle w:val="null3"/>
                    <w:jc w:val="both"/>
                  </w:pPr>
                  <w:r>
                    <w:rPr>
                      <w:rFonts w:ascii="仿宋_GB2312" w:hAnsi="仿宋_GB2312" w:cs="仿宋_GB2312" w:eastAsia="仿宋_GB2312"/>
                      <w:sz w:val="24"/>
                      <w:color w:val="000000"/>
                    </w:rPr>
                    <w:t>字厚度4cm，不锈钢板壁厚度大于等于1.2mm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每平米</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2110"/>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院内导视指引设计方案</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500</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响应及时，设计合理、美观实用，与医院整体氛围相符，运输、安装、维保及时。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本合同服务项目时间为一年，自合同签订之日起一年内。本合同服务项目的质保期为二年。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自合同签订之日起一年内。如在本合同服务期限内实际应付款项总额已达项目结算总金额上限的，则自达到项目预算金额上限之日止。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 付款方式：银行转账，按月据实结算。 2. 乙方需在甲方付款之前提供有效发票给甲方，否责甲方有权拒绝付款，且不承担任何违约责任。 3. 样品（科室牌、室内吊式发光灯箱（科室）、地贴、亚克力板样材、不锈钢板样材）各一份于响应截止时间前递交到西安市高新区锦业路1号都市之门C座9层招标五部，外地企业可邮寄（邮寄前电话告知），收件人：吴昊，电话：18220863371，地址：西安市高新区锦业路1号都市之门C座9层招标五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投标全过程，其中法定代表人直接参加磋商的，须出具法人身份证，并与营业执照上信息一致。法定代表人授权代表参加磋商的，须出具法定代表人授权书及授权代表身份证、授权代表本单位证明（近三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首次报价表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技术方案说明 服务内容及服务邀请应答表 中小企业声明函 商务应答表 报价表 响应文件封面 资格证明文件 投标人参加政府采购活动承诺书 残疾人福利性单位声明函 首次报价表 标的清单 响应函 最终报价表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提供详细的整体设计方案：项目整体设计方案工作思路明确、设计依据符合规范、工作目标明确、设计内容科学合理。 方案合理、科学、符合项目需求得15分； 方案基本合理、科学、基本符合项目需求得10分； 方案部分合理、科学、部分符合项目需求得5分。不提供不得分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项目实施重点、难点及关键过程分析： 针对项目实施过程中 存在的重点及难点的认识、关键过程分析进行综合评审。 方案合理可行，有针对性，符合项目需求得10分； 方案粗略可操作性一般得7分； 方案粗略、可操作性差得3分；不提供不得分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进度保证措施：为保证项目顺利完成，提供合理可行的项目 实施的进度保证措施。 措施较完善、科学合理得10分； 措施一般得7分； 措施粗略可操作性差得3分；不提供不得分。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质量保证措施：为保证项目质量目标，提供合理可行的项目 实施的质量保证措施。 措施较完善、科学合理得10分；措施一般得 7分； 措施粗略可操作性差得3分；不提供不得分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设置专门工作小组，人员配备合理满足本项目各项要求，职责分工明确，针对性强。人员配备、职责分工明确、针对性强得10分；人员配备、职责分工、针对性基本符合要求得7分；人员配备、职责分工、针对性模糊的得 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应急预案完备健全，科学性强、合理性强、可操作性强得12分；应急预案基本完备，科学性一般、合理性及可操作性一般得8分；应急预案完备程度较差，方案合理性及可操作性较差得4分；未提供得0分。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类似经验</w:t>
            </w:r>
          </w:p>
        </w:tc>
        <w:tc>
          <w:tcPr>
            <w:tcW w:type="dxa" w:w="2492"/>
          </w:tcPr>
          <w:p>
            <w:pPr>
              <w:pStyle w:val="null3"/>
            </w:pPr>
            <w:r>
              <w:rPr>
                <w:rFonts w:ascii="仿宋_GB2312" w:hAnsi="仿宋_GB2312" w:cs="仿宋_GB2312" w:eastAsia="仿宋_GB2312"/>
              </w:rPr>
              <w:t>供应商提供近三年（2023年1月-至今）类似项目业绩，每提供一项得2分，最多得6分（以合同签订时间为准，所提供的合同内容须完整清晰，否则不得分）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针对样品使用材质、功能、外观、功能设计、质量等方面进行打分。 产品使用材质先进、功能齐全、外观精美、功能设计科学，优于采购人需求，得12分， 产品使用材质先进、功能齐全、外观精美、功能设计科学，完全满足采购人需求，得8分， 产品基本满足采购人使用需求，得5分，样品不提供或提供不全不得分。 注：样品单独密封，标注公司名称；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满足采购文件要求且报价最低的响应报价为评审基准价，其价格分为满分。其他供应商的价格分统一按照下列公式计算： 报价得分=（评标基准价/响应报价）×价格分值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首次报价表</w:t>
            </w:r>
          </w:p>
          <w:p>
            <w:pPr>
              <w:pStyle w:val="null3"/>
            </w:pPr>
            <w:r>
              <w:rPr>
                <w:rFonts w:ascii="仿宋_GB2312" w:hAnsi="仿宋_GB2312" w:cs="仿宋_GB2312" w:eastAsia="仿宋_GB2312"/>
              </w:rPr>
              <w:t>最终报价表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详见附件：投标人参加政府采购活动承诺书</w:t>
      </w:r>
    </w:p>
    <w:p>
      <w:pPr>
        <w:pStyle w:val="null3"/>
        <w:ind w:firstLine="960"/>
      </w:pPr>
      <w:r>
        <w:rPr>
          <w:rFonts w:ascii="仿宋_GB2312" w:hAnsi="仿宋_GB2312" w:cs="仿宋_GB2312" w:eastAsia="仿宋_GB2312"/>
        </w:rPr>
        <w:t>详见附件：技术方案说明</w:t>
      </w:r>
    </w:p>
    <w:p>
      <w:pPr>
        <w:pStyle w:val="null3"/>
        <w:ind w:firstLine="960"/>
      </w:pPr>
      <w:r>
        <w:rPr>
          <w:rFonts w:ascii="仿宋_GB2312" w:hAnsi="仿宋_GB2312" w:cs="仿宋_GB2312" w:eastAsia="仿宋_GB2312"/>
        </w:rPr>
        <w:t>详见附件：最终报价表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