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版本号：XHZB2025-CS-088-00120260115002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2025年度信息化项目管理咨询服务项目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XHZB2025-CS-088-001</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2025年度信息化项目管理咨询服务项目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XHZB2025-CS-088-001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2025年度信息化项目管理咨询服务项目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信息化项目管理办法（暂行）》，由市数据局负责统筹管理全市信息化项目的征集、立项评审等工作。鉴于项目评审工作专业性较强，为了提高信息化项目管理工作质量，提升信息化项目投资概算评审的科学性、客观性，拟聘请第三方专业机构开展项目资金概算评审等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1、身份证明：法定代表人直接参加磋商的须出具法定代表人身份证（须与营业执照上信息一致），法定代表人授权代表参加磋商的须出具法定代表人授权书及授权代表身份证；</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3、供应商不得存在下列情形之一：供应商不得存在下列情形之一：（1）单位负责人为同一人或者存在直接控股、管理关系的不同供应商，不得参加本次采购活动；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4、非联合体磋商：本项目不接受联合体磋商。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1、身份证明：法定代表人直接参加磋商的须出具法定代表人身份证（须与营业执照上信息一致），法定代表人授权代表参加磋商的须出具法定代表人授权书及授权代表身份证；</w:t>
      </w:r>
    </w:p>
    <w:p>
      <w:pPr>
        <w:pStyle w:val="null3"/>
      </w:pPr>
      <w:r>
        <w:rPr>
          <w:rFonts w:ascii="仿宋_GB2312" w:hAnsi="仿宋_GB2312" w:cs="仿宋_GB2312" w:eastAsia="仿宋_GB2312"/>
        </w:rPr>
        <w:t>2、信用查询：供应商在递交响应文件截止时间前被信用中国网站（www.creditchina.gov.cn）和中国政府采购网（www.ccgp.gov.cn）上被列入失信被执行人、重大税收违法案件当事人名单、政府采购严重违法失信行为记录名单的，不得参加磋商；</w:t>
      </w:r>
    </w:p>
    <w:p>
      <w:pPr>
        <w:pStyle w:val="null3"/>
      </w:pPr>
      <w:r>
        <w:rPr>
          <w:rFonts w:ascii="仿宋_GB2312" w:hAnsi="仿宋_GB2312" w:cs="仿宋_GB2312" w:eastAsia="仿宋_GB2312"/>
        </w:rPr>
        <w:t>3、供应商不得存在下列情形之一：供应商不得存在下列情形之一：（1）单位负责人为同一人或者存在直接控股、管理关系的不同供应商，不得参加本次采购活动；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安孜、刘秀玲、宋培嘉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采购包1：276,500.00元</w:t>
            </w:r>
          </w:p>
          <w:p>
            <w:pPr>
              <w:pStyle w:val="null3"/>
            </w:pPr>
            <w:r>
              <w:rPr>
                <w:rFonts w:ascii="仿宋_GB2312" w:hAnsi="仿宋_GB2312" w:cs="仿宋_GB2312" w:eastAsia="仿宋_GB2312"/>
              </w:rPr>
              <w:t>采购包2：353,500.00元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件收费标准的有关规定，按照定额¥8000.00元（大写：捌仟元整）收取。其中采购包1代理服务费按照定额¥3500.00元（大写：叁仟伍佰元整）收取，采购包2代理服务费按照定额¥4500.00元（大写：肆仟伍佰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联系人：安孜、刘秀玲、宋培嘉</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地址：西安市高新区高新路88号尚品国际C幢北12804室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信息化项目管理办法（暂行）》，由市数据局负责统筹管理全市信息化项目的征集、立项评审等工作。鉴于项目评审工作专业性较强，为了提高信息化项目管理工作质量，提升信息化项目投资概算评审的科学性、客观性，拟聘请第三方专业机构开展项目资金概算评审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276,500.00</w:t>
      </w:r>
    </w:p>
    <w:p>
      <w:pPr>
        <w:pStyle w:val="null3"/>
      </w:pPr>
      <w:r>
        <w:rPr>
          <w:rFonts w:ascii="仿宋_GB2312" w:hAnsi="仿宋_GB2312" w:cs="仿宋_GB2312" w:eastAsia="仿宋_GB2312"/>
        </w:rPr>
        <w:t>采购包最高限价（元）: 276,500.00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新建类项目资金概算评审服务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353,500.00</w:t>
      </w:r>
    </w:p>
    <w:p>
      <w:pPr>
        <w:pStyle w:val="null3"/>
      </w:pPr>
      <w:r>
        <w:rPr>
          <w:rFonts w:ascii="仿宋_GB2312" w:hAnsi="仿宋_GB2312" w:cs="仿宋_GB2312" w:eastAsia="仿宋_GB2312"/>
        </w:rPr>
        <w:t>采购包最高限价（元）: 353,500.00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运维及信创改造类项目资金概算评审服务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标的名称：新建类项目资金概算评审服务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一、采购需求：</w:t>
            </w:r>
          </w:p>
          <w:p>
            <w:pPr>
              <w:pStyle w:val="null3"/>
            </w:pPr>
            <w:r>
              <w:rPr>
                <w:rFonts w:ascii="仿宋_GB2312" w:hAnsi="仿宋_GB2312" w:cs="仿宋_GB2312" w:eastAsia="仿宋_GB2312"/>
              </w:rPr>
              <w:t>1、组织项目投资概算审核。制定投资概算审核方案，以投资概算审核工作方案和有关标准为依据，组织专业技术团队，开展新建类信息化项目投资概算审核工作，出具初步审核意见。</w:t>
            </w:r>
          </w:p>
          <w:p>
            <w:pPr>
              <w:pStyle w:val="null3"/>
            </w:pPr>
            <w:r>
              <w:rPr>
                <w:rFonts w:ascii="仿宋_GB2312" w:hAnsi="仿宋_GB2312" w:cs="仿宋_GB2312" w:eastAsia="仿宋_GB2312"/>
              </w:rPr>
              <w:t>2、出具项目概算评审报告。项目初步投资概算审核意见经采购方与项目责任单位确认后，按照主管单位及采购人有关项目立项审批和资金拨付要求，出具第三方项目投资概算评审报告，作为项目立项批复的依据。</w:t>
            </w:r>
          </w:p>
          <w:p>
            <w:pPr>
              <w:pStyle w:val="null3"/>
            </w:pPr>
            <w:r>
              <w:rPr>
                <w:rFonts w:ascii="仿宋_GB2312" w:hAnsi="仿宋_GB2312" w:cs="仿宋_GB2312" w:eastAsia="仿宋_GB2312"/>
              </w:rPr>
              <w:t>二、要求如下：</w:t>
            </w:r>
          </w:p>
          <w:p>
            <w:pPr>
              <w:pStyle w:val="null3"/>
            </w:pPr>
            <w:r>
              <w:rPr>
                <w:rFonts w:ascii="仿宋_GB2312" w:hAnsi="仿宋_GB2312" w:cs="仿宋_GB2312" w:eastAsia="仿宋_GB2312"/>
              </w:rPr>
              <w:t>1、人员要求</w:t>
            </w:r>
          </w:p>
          <w:p>
            <w:pPr>
              <w:pStyle w:val="null3"/>
            </w:pPr>
            <w:r>
              <w:rPr>
                <w:rFonts w:ascii="仿宋_GB2312" w:hAnsi="仿宋_GB2312" w:cs="仿宋_GB2312" w:eastAsia="仿宋_GB2312"/>
              </w:rPr>
              <w:t>成交供应商项目团队包含项目负责人、主要技术人员、日常联络人及联系方式等情况（组建人数不少于3人的工作团队，提供具体服务组成人员名单）。成交供应商应具有健全的内控制度，有专职质量复核机构及人员；应具有通过保密培训的资金概算评审人员，确保可开展涉密项目的资金概算评审，对项目资料负有保密义务。</w:t>
            </w:r>
          </w:p>
          <w:p>
            <w:pPr>
              <w:pStyle w:val="null3"/>
            </w:pPr>
            <w:r>
              <w:rPr>
                <w:rFonts w:ascii="仿宋_GB2312" w:hAnsi="仿宋_GB2312" w:cs="仿宋_GB2312" w:eastAsia="仿宋_GB2312"/>
              </w:rPr>
              <w:t>2、时间要求</w:t>
            </w:r>
          </w:p>
          <w:p>
            <w:pPr>
              <w:pStyle w:val="null3"/>
            </w:pPr>
            <w:r>
              <w:rPr>
                <w:rFonts w:ascii="仿宋_GB2312" w:hAnsi="仿宋_GB2312" w:cs="仿宋_GB2312" w:eastAsia="仿宋_GB2312"/>
              </w:rPr>
              <w:t>成交供应商在收到采购人提供的项目资金评审材料后10个工作日内提交(个别项目在经采购人同意后可予以延长)《资金概算审核报告》讨论稿，5个工作日内协助采购人完成和项目责任单位的沟通确认（个别项目在经采购人同意后可予以延长)，沟通确认后10个工作日内提交(个别项目在经采购人同意后可予以延长)《资金审核报告》审定稿。</w:t>
            </w:r>
          </w:p>
          <w:p>
            <w:pPr>
              <w:pStyle w:val="null3"/>
            </w:pPr>
            <w:r>
              <w:rPr>
                <w:rFonts w:ascii="仿宋_GB2312" w:hAnsi="仿宋_GB2312" w:cs="仿宋_GB2312" w:eastAsia="仿宋_GB2312"/>
              </w:rPr>
              <w:t>3、质量标准</w:t>
            </w:r>
          </w:p>
          <w:p>
            <w:pPr>
              <w:pStyle w:val="null3"/>
            </w:pPr>
            <w:r>
              <w:rPr>
                <w:rFonts w:ascii="仿宋_GB2312" w:hAnsi="仿宋_GB2312" w:cs="仿宋_GB2312" w:eastAsia="仿宋_GB2312"/>
              </w:rPr>
              <w:t>资金审核报告应包括但不限于以下内容：项目基本概况、审核依据、测算过程、审核结果、审核情况说明等。资金审核报告应当依据充分、真实完整、数据准确、分析透彻、逻辑清晰、客观公正、底稿及附件齐全。对出具的审核结论的真实性、合法性、准确性负有永久的法律责任。</w:t>
            </w:r>
          </w:p>
          <w:p>
            <w:pPr>
              <w:pStyle w:val="null3"/>
            </w:pPr>
            <w:r>
              <w:rPr>
                <w:rFonts w:ascii="仿宋_GB2312" w:hAnsi="仿宋_GB2312" w:cs="仿宋_GB2312" w:eastAsia="仿宋_GB2312"/>
              </w:rPr>
              <w:t>4、验收标准</w:t>
            </w:r>
          </w:p>
          <w:p>
            <w:pPr>
              <w:pStyle w:val="null3"/>
            </w:pPr>
            <w:r>
              <w:rPr>
                <w:rFonts w:ascii="仿宋_GB2312" w:hAnsi="仿宋_GB2312" w:cs="仿宋_GB2312" w:eastAsia="仿宋_GB2312"/>
              </w:rPr>
              <w:t>1.成交供应商所出具的评审报告应遵守应做到内容完整、依据充分、数据真实、逻辑清晰、分析透彻、结果客观、建议可行。</w:t>
            </w:r>
          </w:p>
          <w:p>
            <w:pPr>
              <w:pStyle w:val="null3"/>
            </w:pPr>
            <w:r>
              <w:rPr>
                <w:rFonts w:ascii="仿宋_GB2312" w:hAnsi="仿宋_GB2312" w:cs="仿宋_GB2312" w:eastAsia="仿宋_GB2312"/>
              </w:rPr>
              <w:t>2.成交供应商按照项目审核服务有关程序要求、工作流程及审核标准开展审核服务工作，在规定时限内完成工作任务，并提交合格的项目审核报告。对报告质量、相关数据和结论的真实性负责，并承担相关保密责任。</w:t>
            </w:r>
          </w:p>
          <w:p>
            <w:pPr>
              <w:pStyle w:val="null3"/>
            </w:pPr>
            <w:r>
              <w:rPr>
                <w:rFonts w:ascii="仿宋_GB2312" w:hAnsi="仿宋_GB2312" w:cs="仿宋_GB2312" w:eastAsia="仿宋_GB2312"/>
                <w:sz w:val="21"/>
              </w:rPr>
              <w:t>3.正式的项目服务报告应该包括证明性材料、结论性材料等。</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标的名称：运维及信创改造类项目资金概算评审服务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一、采购需求：</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完善现有投资概算编制指南及评审标准。根据行业基准数据发布及相关标准更新情况，完成《西安市政务信息化项目投资概算编制及评审工作指南（2025年版）》中测算方法、测算依据、测算基数等内容调整。</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组织项目投资概算审核。制定投资概算审核方案，以投资概算审核工作方案和有关标准为依据，组织专业技术团队，开展运维及信创改造类信息化项目投资概算审核工作，出具初步意见。</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出具项目概算评审报告。项目初步投资概算审核意见经采购方与项目责任单位确认后，按照主管单位及采购人有关项目立项审批和资金拨付要求，出具第三</w:t>
            </w:r>
            <w:r>
              <w:rPr>
                <w:rFonts w:ascii="仿宋_GB2312" w:hAnsi="仿宋_GB2312" w:cs="仿宋_GB2312" w:eastAsia="仿宋_GB2312"/>
                <w:sz w:val="20"/>
              </w:rPr>
              <w:t>方项目投</w:t>
            </w:r>
            <w:r>
              <w:rPr>
                <w:rFonts w:ascii="仿宋_GB2312" w:hAnsi="仿宋_GB2312" w:cs="仿宋_GB2312" w:eastAsia="仿宋_GB2312"/>
                <w:sz w:val="20"/>
              </w:rPr>
              <w:t>资概算评审报告，作为项目立项批复的依据。</w:t>
            </w:r>
          </w:p>
          <w:p>
            <w:pPr>
              <w:pStyle w:val="null3"/>
              <w:jc w:val="both"/>
            </w:pPr>
            <w:r>
              <w:rPr>
                <w:rFonts w:ascii="仿宋_GB2312" w:hAnsi="仿宋_GB2312" w:cs="仿宋_GB2312" w:eastAsia="仿宋_GB2312"/>
                <w:sz w:val="21"/>
              </w:rPr>
              <w:t>二、要求如下：</w:t>
            </w:r>
          </w:p>
          <w:p>
            <w:pPr>
              <w:pStyle w:val="null3"/>
            </w:pPr>
            <w:r>
              <w:rPr>
                <w:rFonts w:ascii="仿宋_GB2312" w:hAnsi="仿宋_GB2312" w:cs="仿宋_GB2312" w:eastAsia="仿宋_GB2312"/>
              </w:rPr>
              <w:t>1、人员要求</w:t>
            </w:r>
          </w:p>
          <w:p>
            <w:pPr>
              <w:pStyle w:val="null3"/>
            </w:pPr>
            <w:r>
              <w:rPr>
                <w:rFonts w:ascii="仿宋_GB2312" w:hAnsi="仿宋_GB2312" w:cs="仿宋_GB2312" w:eastAsia="仿宋_GB2312"/>
              </w:rPr>
              <w:t>成交供应商项目团队包含项目负责人、主要技术人员、日常联络人及联系方式等情况（组建人数不少于3人的工作团队，提供具体服务组成人员名单）。成交供应商应具有健全的内控制度，有专职质量复核机构及人员；应具有通过保密培训的资金概算评审人员，确保可开展涉密项目的资金概算评审，对项目资料负有保密义务。</w:t>
            </w:r>
          </w:p>
          <w:p>
            <w:pPr>
              <w:pStyle w:val="null3"/>
            </w:pPr>
            <w:r>
              <w:rPr>
                <w:rFonts w:ascii="仿宋_GB2312" w:hAnsi="仿宋_GB2312" w:cs="仿宋_GB2312" w:eastAsia="仿宋_GB2312"/>
              </w:rPr>
              <w:t>2、时间要求</w:t>
            </w:r>
          </w:p>
          <w:p>
            <w:pPr>
              <w:pStyle w:val="null3"/>
            </w:pPr>
            <w:r>
              <w:rPr>
                <w:rFonts w:ascii="仿宋_GB2312" w:hAnsi="仿宋_GB2312" w:cs="仿宋_GB2312" w:eastAsia="仿宋_GB2312"/>
              </w:rPr>
              <w:t>成交供应商在收到采购人提供的项目资金评审材料后10个工作日内提交(个别项目在经采购人同意后可予以延长)《资金概算审核报告》讨论稿，5个工作日内协助采购人完成和项目责任单位的沟通确认（个别项目在经采购人同意后可予以延长)，沟通确认后10个工作日内提交(个别项目在经采购人同意后可予以延长)《资金审核报告》审定稿。</w:t>
            </w:r>
          </w:p>
          <w:p>
            <w:pPr>
              <w:pStyle w:val="null3"/>
            </w:pPr>
            <w:r>
              <w:rPr>
                <w:rFonts w:ascii="仿宋_GB2312" w:hAnsi="仿宋_GB2312" w:cs="仿宋_GB2312" w:eastAsia="仿宋_GB2312"/>
              </w:rPr>
              <w:t>3、质量标准</w:t>
            </w:r>
          </w:p>
          <w:p>
            <w:pPr>
              <w:pStyle w:val="null3"/>
            </w:pPr>
            <w:r>
              <w:rPr>
                <w:rFonts w:ascii="仿宋_GB2312" w:hAnsi="仿宋_GB2312" w:cs="仿宋_GB2312" w:eastAsia="仿宋_GB2312"/>
              </w:rPr>
              <w:t>资金审核报告应包括但不限于以下内容：项目基本概况、审核依据、测算过程、审核结果、审核情况说明等。资金审核报告应当依据充分、真实完整、数据准确、分析透彻、逻辑清晰、客观公正、底稿及附件齐全。对出具的审核结论的真实性、合法性、准确性负有永久的法律责任。</w:t>
            </w:r>
          </w:p>
          <w:p>
            <w:pPr>
              <w:pStyle w:val="null3"/>
            </w:pPr>
            <w:r>
              <w:rPr>
                <w:rFonts w:ascii="仿宋_GB2312" w:hAnsi="仿宋_GB2312" w:cs="仿宋_GB2312" w:eastAsia="仿宋_GB2312"/>
              </w:rPr>
              <w:t>4、验收标准</w:t>
            </w:r>
          </w:p>
          <w:p>
            <w:pPr>
              <w:pStyle w:val="null3"/>
            </w:pPr>
            <w:r>
              <w:rPr>
                <w:rFonts w:ascii="仿宋_GB2312" w:hAnsi="仿宋_GB2312" w:cs="仿宋_GB2312" w:eastAsia="仿宋_GB2312"/>
              </w:rPr>
              <w:t>1.成交供应商所出具的评审报告应遵守应做到内容完整、依据充分、数据真实、逻辑清晰、分析透彻、结果客观、建议可行。</w:t>
            </w:r>
          </w:p>
          <w:p>
            <w:pPr>
              <w:pStyle w:val="null3"/>
            </w:pPr>
            <w:r>
              <w:rPr>
                <w:rFonts w:ascii="仿宋_GB2312" w:hAnsi="仿宋_GB2312" w:cs="仿宋_GB2312" w:eastAsia="仿宋_GB2312"/>
              </w:rPr>
              <w:t>2.成交供应商按照项目审核服务有关程序要求、工作流程及审核标准开展审核服务工作，在规定时限内完成工作任务，并提交合格的项目审核报告。对报告质量、相关数据和结论的真实性负责，并承担相关保密责任。</w:t>
            </w:r>
          </w:p>
          <w:p>
            <w:pPr>
              <w:pStyle w:val="null3"/>
            </w:pPr>
            <w:r>
              <w:rPr>
                <w:rFonts w:ascii="仿宋_GB2312" w:hAnsi="仿宋_GB2312" w:cs="仿宋_GB2312" w:eastAsia="仿宋_GB2312"/>
                <w:sz w:val="21"/>
              </w:rPr>
              <w:t>3</w:t>
            </w:r>
            <w:r>
              <w:rPr>
                <w:rFonts w:ascii="仿宋_GB2312" w:hAnsi="仿宋_GB2312" w:cs="仿宋_GB2312" w:eastAsia="仿宋_GB2312"/>
                <w:sz w:val="20"/>
              </w:rPr>
              <w:t>.正式的项目服务报告应该包括证明性材料、结论性材料等。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详见采购文件合同相关条款</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合同签订后，待2026年度信息化专项资金预算下达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并验收合格后，依据《陕西省执行政府指导价的工程造价咨询服务收费项目和标准》，结合实际工作量对剩余60%款项进行结算。结算时，项目应付款总额的10%需根据服务绩效考核结果确定最终支付金额。实际工作量满足项目需求且绩效考核得分为90分及以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合同签订后，待2026年度信息化专项资金预算下达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执行完毕并验收合格后，依据《陕西省执行政府指导价的工程造价咨询服务收费项目和标准》，结合实际工作量对剩余60%款项进行结算。结算时，项目应付款总额的10%需根据服务绩效考核结果确定最终支付金额。实际工作量满足项目需求且绩效考核得分为90分及以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详见采购合同文件相关条款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采用“兼投不兼中”方式进行采购，即供应商可以选择本项目一个或多个采购包进行磋商响应，每个采购包确定1个成交供应商，但1位供应商最多只能获得1个采购包的成交资格。评审时按采购包先后顺序逐个依次进行评审，每个采购包按综合得分从高到低排列，排名第一的推荐为第一成交候选人。在按采购包顺序依次评审过程中，当某个供应商在前一采购包中已被推荐为第一成交候选人，则在后续采购包中不再作为有效供应商参与评审。若采购包有效供应商不足法定三家的，则该采购包按废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本项目不专门面向中小企业采购，供应商应为大型企业、中小微企业、监狱企业、残疾人福利性单位；落实陕西省财政厅关于印发《陕西省中小企业政府采购信用融资办法》（陕财办采〔2018〕23号）等内容。</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本项目不专门面向中小企业采购，供应商应为大型企业、中小微企业、监狱企业、残疾人福利性单位；落实陕西省财政厅关于印发《陕西省中小企业政府采购信用融资办法》（陕财办采〔2018〕23号）等内容。</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法定代表人直接参加磋商的须出具法定代表人身份证（须与营业执照上信息一致），法定代表人授权代表参加磋商的须出具法定代表人授权书及授权代表身份证；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法定代表人直接参加磋商的须出具法定代表人身份证（须与营业执照上信息一致），法定代表人授权代表参加磋商的须出具法定代表人授权书及授权代表身份证；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案件当事人名单、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响应承诺书.docx 中小企业声明函.docx 残疾人福利性单位声明函 偏离表.docx 标的清单 报价表 磋商响应报价表包1.docx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残疾人福利性单位声明函 偏离表.docx 标的清单 磋商响应报价表包1.docx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标的清单 磋商响应报价表包1.docx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中小企业声明函.docx 残疾人福利性单位声明函 偏离表.docx 标的清单 磋商响应报价表包1.docx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响应承诺书.docx 中小企业声明函.docx 残疾人福利性单位声明函 偏离表.docx 标的清单 磋商响应报价表包1.docx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响应承诺书.docx 供应商应提交的相关资格证明材料.docx 中小企业声明函.docx 残疾人福利性单位声明函 偏离表.docx 标的清单 磋商响应报价表包1.docx 报价表 响应函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响应承诺书.docx 磋商响应报价表包2.docx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按竞争性磋商文件格式要求加盖了供应商公章和有法定代表人或其授权代表签字或加盖人名章。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响应文件封面 磋商响应报价表包2.docx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响应承诺书.docx 磋商响应报价表包2.docx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响应文件封面 响应承诺书.docx 磋商响应报价表包2.docx 中小企业声明函.docx 残疾人福利性单位声明函 偏离表.docx 标的清单 报价表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 其中响应文件有效期：有效期满足磋商文件要求的； 响应文件格式：响应文件按规定的格式填写，内容完整且关键字迹清晰； 备选方案：供应商不得提交两份或者多份内容不同的响应文件，或者在同一份响应文件中对同一磋商项目有两个或者多个报价； 响应文件内容：供应商提供的服务无实质性遗漏； 技术响应：符合“采购需求”要求，保证服务质量且无重大偏差； 服务期和服务地点：满足磋商文件要求； 付款方式：磋商文件不允许偏差时，响应文件无负偏差；</w:t>
            </w:r>
          </w:p>
        </w:tc>
        <w:tc>
          <w:tcPr>
            <w:tcW w:type="dxa" w:w="1661"/>
          </w:tcPr>
          <w:p>
            <w:pPr>
              <w:pStyle w:val="null3"/>
            </w:pPr>
            <w:r>
              <w:rPr>
                <w:rFonts w:ascii="仿宋_GB2312" w:hAnsi="仿宋_GB2312" w:cs="仿宋_GB2312" w:eastAsia="仿宋_GB2312"/>
              </w:rPr>
              <w:t>响应文件封面 响应承诺书.docx 供应商应提交的相关资格证明材料.docx 磋商响应报价表包2.docx 中小企业声明函.docx 残疾人福利性单位声明函 偏离表.docx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针对本项目的理解和认识（包括但不限于对项目基本情况分析、对项目背景的研判等）（5分）。 对本项目提供理解和认识，根据内容深入性、可实施性、针对性进行评审：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针对本项目的整体服务方案（包括但不限于评审工作的整体思路、项目重难点工作分析及解决办法等）（5分）。 对本项目提供整体服务方案，根据内容深入性、可实施性、针对性进行评审：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针对本项目的工作流程（包括但不限于评审工作流程、业务档案管理制度等）（5分）。 对本项目提供工作流程，根据内容深入性、可实施性、针对性进行评审：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针对本项目的内控制度（包括但不限于业务质量控制制度、复核制度等）（5分）。 对本项目提供内控制度，根据内容深入性、可实施性、针对性进行评审：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工作进度计划与保证措施</w:t>
            </w:r>
          </w:p>
        </w:tc>
        <w:tc>
          <w:tcPr>
            <w:tcW w:type="dxa" w:w="2492"/>
          </w:tcPr>
          <w:p>
            <w:pPr>
              <w:pStyle w:val="null3"/>
            </w:pPr>
            <w:r>
              <w:rPr>
                <w:rFonts w:ascii="仿宋_GB2312" w:hAnsi="仿宋_GB2312" w:cs="仿宋_GB2312" w:eastAsia="仿宋_GB2312"/>
              </w:rPr>
              <w:t>针对本项目的工作进度计划与保证措施（包括但不限于工作计划安排、保障进度计划的各项保证措施等）（5分）。 对本项目提供工作进度计划与保证措施，根据内容深入性、可实施性、针对性进行评审：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针对本项目提供保密工作方案（包括但不限于保密防范措施、泄密追责制度等）（5分）。 对本项目提供保密工作方案，根据内容深入性、可实施性、针对性进行评审：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针对本项目的应急预案（包括但不限于建立应急预案、突发紧急工作安排等）（5分） 对本项目提供应急预案，根据内容深入性、可实施性、针对性进行评审：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针对本项目质量保障措施（其中包括但不限于质量控制目标、质量控制措施、质检方案等）（5分）。 对本项目提供质量保障措施，根据内容深入性、可实施性、针对性进行评审：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针对本项目的实施保障措施（其中包括但不限于人员保障措施、时效保障措施、服务保障措施等）（5分）。 对本项目提供实施保障措施，根据内容深入性、可实施性、针对性进行评审：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项目成果文件</w:t>
            </w:r>
          </w:p>
        </w:tc>
        <w:tc>
          <w:tcPr>
            <w:tcW w:type="dxa" w:w="2492"/>
          </w:tcPr>
          <w:p>
            <w:pPr>
              <w:pStyle w:val="null3"/>
            </w:pPr>
            <w:r>
              <w:rPr>
                <w:rFonts w:ascii="仿宋_GB2312" w:hAnsi="仿宋_GB2312" w:cs="仿宋_GB2312" w:eastAsia="仿宋_GB2312"/>
              </w:rPr>
              <w:t>针对本项目的成果文件方案（包括但不限于成果文件的内容、形式及提交计划的说明等)（5分） 对本项目提供成果文件方案，根据内容深入性、可实施性、针对性进行评审：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（1）项目负责人具有一级注册造价工程师执业资格的得1分，未提供不得分； （2）项目负责人具备中级职称的得1分，具备高级职称的得2分，未提供不得分； 注：提供相关人员证明材料的复印件并加盖单位公章； （3）项目负责人2023年1月1日至今有过同类项目经验的，每提供一项得1分，最高得2分，未提供不得分。 注：提供证明材料为中标（成交）通知书复印件或或合同扫描件或报告等证明材料，且能体现业绩项目的项目负责人为本项目负责人。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拟投入团队人员（不包含项目负责人）：</w:t>
            </w:r>
          </w:p>
        </w:tc>
        <w:tc>
          <w:tcPr>
            <w:tcW w:type="dxa" w:w="2492"/>
          </w:tcPr>
          <w:p>
            <w:pPr>
              <w:pStyle w:val="null3"/>
            </w:pPr>
            <w:r>
              <w:rPr>
                <w:rFonts w:ascii="仿宋_GB2312" w:hAnsi="仿宋_GB2312" w:cs="仿宋_GB2312" w:eastAsia="仿宋_GB2312"/>
              </w:rPr>
              <w:t>（1）不少于2人，具备中级职称的得0.5分，具备高级职称的得1分，同一人员不得重复计分，本项最多得2分，未提供不得分； 注：提供相关人员证明材料的复印件并加盖单位公章； （2）团队人员中每有1人从业年限不少于 3 年得 1.5 分；1（含）-3 年（不含）得1 分；1 年以内为 0.5分。本项最多得3分，未提供不得分； 注：提供相关的证明材料并加盖单位公章。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人员方案</w:t>
            </w:r>
          </w:p>
        </w:tc>
        <w:tc>
          <w:tcPr>
            <w:tcW w:type="dxa" w:w="2492"/>
          </w:tcPr>
          <w:p>
            <w:pPr>
              <w:pStyle w:val="null3"/>
            </w:pPr>
            <w:r>
              <w:rPr>
                <w:rFonts w:ascii="仿宋_GB2312" w:hAnsi="仿宋_GB2312" w:cs="仿宋_GB2312" w:eastAsia="仿宋_GB2312"/>
              </w:rPr>
              <w:t>项目团队人员方案（包括但不限于拟派项目团队人员的专业性、人员的数量、资质经验、人员管理制度等）（5分） 对本项目提供项目团队人员方案，根据内容深入性、可实施性、针对性进行评审：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有利于本项目实施的服务承诺（其中包括但不限于质量保障承诺、进度保障承诺、响应时间承诺等）（5分） 对本项目提供服务承诺，根据内容深入性、可实施性、针对性进行评审：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为本项目提出合理化建议（其中包括但不限于提高项目管理水平、有助于工作更加顺利进行等）（5分） 对本项目提供合理化建议，根据内容深入性、可实施性、针对性进行评审：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针对本项目实际情况，结合项目特点为采购人提供相应的增值服务内容，每提供一个得2.5分，满分5分。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供应商提供近三年（2023年1月1日至今）同类项目业绩，响应文件中附有其业绩证明材料，业绩以合同文件或中标（成交）通知书为依据，每提供一个计2.5分，满分10分。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针对本项目的理解和认识（包括但不限于对项目基本情况分析、对项目背景的研判等）（5分）。 对本项目提供理解和认识，根据内容深入性、可实施性、针对性进行评审：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针对本项目的整体服务方案（包括但不限于评审工作的整体思路、项目重难点工作分析及解决办法等）（5分）。 对本项目提供整体服务方案，根据内容深入性、可实施性、针对性进行评审：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针对本项目的工作流程（包括但不限于评审工作流程、业务档案管理制度等）（5分）。 对本项目提供工作流程，根据内容深入性、可实施性、针对性进行评审：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针对本项目的内控制度（包括但不限于业务质量控制制度、复核制度等）（5分）。 对本项目提供内控制度，根据内容深入性、可实施性、针对性进行评审：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工作进度计划与保证措施</w:t>
            </w:r>
          </w:p>
        </w:tc>
        <w:tc>
          <w:tcPr>
            <w:tcW w:type="dxa" w:w="2492"/>
          </w:tcPr>
          <w:p>
            <w:pPr>
              <w:pStyle w:val="null3"/>
            </w:pPr>
            <w:r>
              <w:rPr>
                <w:rFonts w:ascii="仿宋_GB2312" w:hAnsi="仿宋_GB2312" w:cs="仿宋_GB2312" w:eastAsia="仿宋_GB2312"/>
              </w:rPr>
              <w:t>针对本项目的工作进度计划与保证措施（包括但不限于工作计划安排、保障进度计划的各项保证措施等）（5分）。 对本项目提供工作进度计划与保证措施，根据内容深入性、可实施性、针对性进行评审：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保密工作方案</w:t>
            </w:r>
          </w:p>
        </w:tc>
        <w:tc>
          <w:tcPr>
            <w:tcW w:type="dxa" w:w="2492"/>
          </w:tcPr>
          <w:p>
            <w:pPr>
              <w:pStyle w:val="null3"/>
            </w:pPr>
            <w:r>
              <w:rPr>
                <w:rFonts w:ascii="仿宋_GB2312" w:hAnsi="仿宋_GB2312" w:cs="仿宋_GB2312" w:eastAsia="仿宋_GB2312"/>
              </w:rPr>
              <w:t>针对本项目提供保密工作方案（包括但不限于保密防范措施、泄密追责制度等）（5分）。 对本项目提供保密工作方案，根据内容深入性、可实施性、针对性进行评审：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针对本项目的应急预案（包括但不限于建立应急预案、突发紧急工作安排等）（5分） 对本项目提供应急预案，根据内容深入性、可实施性、针对性进行评审：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针对本项目质量保障措施（其中包括但不限于质量控制目标、质量控制措施、质检方案等）（5分）。 对本项目提供质量保障措施，根据内容深入性、可实施性、针对性进行评审：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针对本项目的实施保障措施（其中包括但不限于人员保障措施、时效保障措施、服务保障措施等）（5分）。 对本项目提供实施保障措施，根据内容深入性、可实施性、针对性进行评审：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项目成果文件</w:t>
            </w:r>
          </w:p>
        </w:tc>
        <w:tc>
          <w:tcPr>
            <w:tcW w:type="dxa" w:w="2492"/>
          </w:tcPr>
          <w:p>
            <w:pPr>
              <w:pStyle w:val="null3"/>
            </w:pPr>
            <w:r>
              <w:rPr>
                <w:rFonts w:ascii="仿宋_GB2312" w:hAnsi="仿宋_GB2312" w:cs="仿宋_GB2312" w:eastAsia="仿宋_GB2312"/>
              </w:rPr>
              <w:t>针对本项目的成果文件方案（包括但不限于成果文件的内容、形式及提交计划的说明等)（5分） 对本项目提供成果文件方案，根据内容深入性、可实施性、针对性进行评审：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（1）项目负责人具有一级注册造价工程师执业资格的得1分，未提供不得分； （2）项目负责人具备中级职称的得1分，具备高级职称的得2分，未提供不得分； 注：提供相关人员证明材料的复印件并加盖单位公章； （3）项目负责人2023年1月1日至今有过同类项目经验的，每提供一项得1分，最高得2分，未提供不得分。 注：提供证明材料为中标（成交）通知书复印件或或合同扫描件或报告等证明材料，且能体现业绩项目的项目负责人为本项目负责人。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拟投入团队人员（不包含项目负责人）：</w:t>
            </w:r>
          </w:p>
        </w:tc>
        <w:tc>
          <w:tcPr>
            <w:tcW w:type="dxa" w:w="2492"/>
          </w:tcPr>
          <w:p>
            <w:pPr>
              <w:pStyle w:val="null3"/>
            </w:pPr>
            <w:r>
              <w:rPr>
                <w:rFonts w:ascii="仿宋_GB2312" w:hAnsi="仿宋_GB2312" w:cs="仿宋_GB2312" w:eastAsia="仿宋_GB2312"/>
              </w:rPr>
              <w:t>（1）不少于2人，具备中级职称的得0.5分，具备高级职称的得1分，同一人员不得重复计分，本项最多得2分，未提供不得分； 注：提供相关人员证明材料的复印件并加盖单位公章； （2）团队人员中每有1人从业年限不少于 3 年得 1.5 分；1（含）-3 年（不含）得1 分；1 年以内为 0.5分。本项最多得3分，未提供不得分； 注：提供相关的证明材料并加盖单位公章。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人员方案</w:t>
            </w:r>
          </w:p>
        </w:tc>
        <w:tc>
          <w:tcPr>
            <w:tcW w:type="dxa" w:w="2492"/>
          </w:tcPr>
          <w:p>
            <w:pPr>
              <w:pStyle w:val="null3"/>
            </w:pPr>
            <w:r>
              <w:rPr>
                <w:rFonts w:ascii="仿宋_GB2312" w:hAnsi="仿宋_GB2312" w:cs="仿宋_GB2312" w:eastAsia="仿宋_GB2312"/>
              </w:rPr>
              <w:t>项目团队人员方案（包括但不限于拟派项目团队人员的专业性、人员的数量、资质经验、人员管理制度等）（5分） 对本项目提供项目团队人员方案，根据内容深入性、可实施性、针对性进行评审：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有利于本项目实施的服务承诺（其中包括但不限于质量保障承诺、进度保障承诺、响应时间承诺等）（5分） 对本项目提供服务承诺，根据内容深入性、可实施性、针对性进行评审：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为本项目提出合理化建议（其中包括但不限于提高项目管理水平、有助于工作更加顺利进行等）（5分） 对本项目提供合理化建议，根据内容深入性、可实施性、针对性进行评审：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针对本项目实际情况，结合项目特点为采购人提供相应的增值服务内容，每提供一个得2.5分，满分5分。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供应商提供近三年（2023年1月1日至今）同类项目业绩，响应文件中附有其业绩证明材料，业绩以合同文件或中标（成交）通知书为依据，每提供一个计2.5分，满分10分。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 符合磋商文件规定的小微企业、监狱企业、残疾人福利性单位优惠条件的供应商，价格给予10%的扣除，用扣除后的价格参与评审。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磋商响应报价表包2.docx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详见附件：磋商响应报价表包1.docx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详见附件：磋商响应报价表包2.docx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详见附件：响应承诺书.docx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