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FC03C">
      <w:pPr>
        <w:jc w:val="left"/>
        <w:rPr>
          <w:rFonts w:hint="default" w:ascii="华文仿宋" w:hAnsi="华文仿宋" w:eastAsia="华文仿宋" w:cs="Times New Roman"/>
          <w:b/>
          <w:spacing w:val="-20"/>
          <w:sz w:val="28"/>
          <w:szCs w:val="28"/>
          <w:lang w:val="en-US" w:eastAsia="zh-CN"/>
        </w:rPr>
      </w:pPr>
      <w:r>
        <w:rPr>
          <w:rFonts w:hint="eastAsia" w:ascii="华文仿宋" w:hAnsi="华文仿宋" w:eastAsia="华文仿宋" w:cs="Times New Roman"/>
          <w:b/>
          <w:spacing w:val="-20"/>
          <w:sz w:val="28"/>
          <w:szCs w:val="28"/>
          <w:lang w:val="en-US" w:eastAsia="zh-CN"/>
        </w:rPr>
        <w:t>采购包1：</w:t>
      </w:r>
    </w:p>
    <w:p w14:paraId="7BA37A8F">
      <w:pPr>
        <w:jc w:val="center"/>
        <w:rPr>
          <w:rFonts w:ascii="黑体" w:hAnsi="黑体" w:eastAsia="黑体" w:cs="黑体"/>
          <w:b/>
          <w:spacing w:val="-20"/>
          <w:sz w:val="52"/>
          <w:szCs w:val="52"/>
        </w:rPr>
      </w:pPr>
      <w:r>
        <w:rPr>
          <w:rFonts w:hint="eastAsia" w:ascii="黑体" w:hAnsi="黑体" w:eastAsia="黑体" w:cs="黑体"/>
          <w:b/>
          <w:spacing w:val="-20"/>
          <w:sz w:val="52"/>
          <w:szCs w:val="52"/>
        </w:rPr>
        <w:t>西安市数据局</w:t>
      </w:r>
    </w:p>
    <w:p w14:paraId="1A320F28">
      <w:pPr>
        <w:jc w:val="center"/>
        <w:rPr>
          <w:rFonts w:ascii="黑体" w:hAnsi="黑体" w:eastAsia="黑体" w:cs="黑体"/>
          <w:b/>
          <w:spacing w:val="-20"/>
          <w:sz w:val="52"/>
          <w:szCs w:val="52"/>
        </w:rPr>
      </w:pPr>
      <w:r>
        <w:rPr>
          <w:rFonts w:hint="eastAsia" w:ascii="黑体" w:hAnsi="黑体" w:eastAsia="黑体" w:cs="黑体"/>
          <w:b/>
          <w:spacing w:val="-20"/>
          <w:sz w:val="52"/>
          <w:szCs w:val="52"/>
          <w:lang w:val="en-US" w:eastAsia="zh-CN"/>
        </w:rPr>
        <w:t>2025年度</w:t>
      </w:r>
      <w:r>
        <w:rPr>
          <w:rFonts w:hint="eastAsia" w:ascii="黑体" w:hAnsi="黑体" w:eastAsia="黑体" w:cs="黑体"/>
          <w:b/>
          <w:spacing w:val="-20"/>
          <w:sz w:val="52"/>
          <w:szCs w:val="52"/>
        </w:rPr>
        <w:t>信息化项目管理咨询项目</w:t>
      </w:r>
    </w:p>
    <w:p w14:paraId="730D8B78">
      <w:pPr>
        <w:jc w:val="center"/>
        <w:rPr>
          <w:rFonts w:ascii="黑体" w:hAnsi="黑体" w:eastAsia="黑体" w:cs="黑体"/>
          <w:b/>
          <w:sz w:val="72"/>
          <w:szCs w:val="72"/>
        </w:rPr>
      </w:pPr>
      <w:r>
        <w:rPr>
          <w:rFonts w:hint="eastAsia" w:ascii="黑体" w:hAnsi="黑体" w:eastAsia="黑体" w:cs="黑体"/>
          <w:b/>
          <w:sz w:val="72"/>
          <w:szCs w:val="72"/>
        </w:rPr>
        <w:t>服 务 合 同</w:t>
      </w:r>
    </w:p>
    <w:p w14:paraId="6E572035">
      <w:pPr>
        <w:jc w:val="center"/>
        <w:rPr>
          <w:rFonts w:hint="eastAsia" w:ascii="华文仿宋" w:hAnsi="华文仿宋" w:eastAsia="华文仿宋" w:cs="Times New Roman"/>
          <w:sz w:val="28"/>
          <w:szCs w:val="28"/>
          <w:lang w:val="en-US" w:eastAsia="zh-CN"/>
        </w:rPr>
      </w:pPr>
      <w:r>
        <w:rPr>
          <w:rFonts w:hint="eastAsia" w:ascii="华文仿宋" w:hAnsi="华文仿宋" w:eastAsia="华文仿宋" w:cs="Times New Roman"/>
          <w:sz w:val="28"/>
          <w:szCs w:val="28"/>
          <w:lang w:val="en-US" w:eastAsia="zh-CN"/>
        </w:rPr>
        <w:t>:</w:t>
      </w:r>
    </w:p>
    <w:p w14:paraId="7F04AEA7">
      <w:pPr>
        <w:pStyle w:val="2"/>
        <w:rPr>
          <w:rFonts w:hint="eastAsia"/>
          <w:lang w:val="en-US" w:eastAsia="zh-CN"/>
        </w:rPr>
      </w:pPr>
    </w:p>
    <w:p w14:paraId="2E2DA943">
      <w:pPr>
        <w:jc w:val="center"/>
        <w:rPr>
          <w:rFonts w:ascii="华文仿宋" w:hAnsi="华文仿宋" w:eastAsia="华文仿宋" w:cs="Times New Roman"/>
          <w:sz w:val="28"/>
          <w:szCs w:val="28"/>
        </w:rPr>
      </w:pPr>
    </w:p>
    <w:p w14:paraId="7EC8DEA1">
      <w:pPr>
        <w:jc w:val="center"/>
        <w:rPr>
          <w:rFonts w:ascii="华文仿宋" w:hAnsi="华文仿宋" w:eastAsia="华文仿宋" w:cs="Times New Roman"/>
          <w:sz w:val="28"/>
          <w:szCs w:val="28"/>
        </w:rPr>
      </w:pPr>
    </w:p>
    <w:p w14:paraId="248E7CD2">
      <w:pPr>
        <w:jc w:val="center"/>
        <w:rPr>
          <w:rFonts w:ascii="华文仿宋" w:hAnsi="华文仿宋" w:eastAsia="华文仿宋" w:cs="Times New Roman"/>
          <w:sz w:val="28"/>
          <w:szCs w:val="28"/>
        </w:rPr>
      </w:pPr>
    </w:p>
    <w:p w14:paraId="6DE9869A">
      <w:pPr>
        <w:rPr>
          <w:rFonts w:ascii="华文仿宋" w:hAnsi="华文仿宋" w:eastAsia="华文仿宋" w:cs="Times New Roman"/>
          <w:sz w:val="28"/>
          <w:szCs w:val="28"/>
        </w:rPr>
      </w:pPr>
    </w:p>
    <w:p w14:paraId="62D3071B">
      <w:pPr>
        <w:jc w:val="center"/>
        <w:rPr>
          <w:rFonts w:ascii="华文仿宋" w:hAnsi="华文仿宋" w:eastAsia="华文仿宋" w:cs="Times New Roman"/>
          <w:sz w:val="28"/>
          <w:szCs w:val="28"/>
        </w:rPr>
      </w:pPr>
    </w:p>
    <w:p w14:paraId="23171CB1">
      <w:pPr>
        <w:jc w:val="center"/>
        <w:rPr>
          <w:rFonts w:ascii="华文仿宋" w:hAnsi="华文仿宋" w:eastAsia="华文仿宋" w:cs="Times New Roman"/>
          <w:sz w:val="28"/>
          <w:szCs w:val="28"/>
        </w:rPr>
      </w:pPr>
    </w:p>
    <w:p w14:paraId="00874427">
      <w:pPr>
        <w:jc w:val="center"/>
        <w:rPr>
          <w:rFonts w:ascii="华文仿宋" w:hAnsi="华文仿宋" w:eastAsia="华文仿宋" w:cs="Times New Roman"/>
          <w:sz w:val="28"/>
          <w:szCs w:val="28"/>
        </w:rPr>
      </w:pPr>
    </w:p>
    <w:p w14:paraId="43829FCD">
      <w:pPr>
        <w:ind w:firstLine="2124" w:firstLineChars="664"/>
        <w:rPr>
          <w:rFonts w:ascii="黑体" w:hAnsi="Times New Roman" w:eastAsia="黑体" w:cs="Times New Roman"/>
          <w:sz w:val="32"/>
          <w:szCs w:val="32"/>
        </w:rPr>
      </w:pPr>
      <w:r>
        <w:rPr>
          <w:rFonts w:hint="eastAsia" w:ascii="黑体" w:hAnsi="Times New Roman" w:eastAsia="黑体" w:cs="Times New Roman"/>
          <w:sz w:val="32"/>
          <w:szCs w:val="32"/>
        </w:rPr>
        <w:t>甲  方：西安市数据局</w:t>
      </w:r>
    </w:p>
    <w:p w14:paraId="299C673A">
      <w:pPr>
        <w:tabs>
          <w:tab w:val="left" w:pos="480"/>
        </w:tabs>
        <w:ind w:firstLine="2124" w:firstLineChars="664"/>
        <w:rPr>
          <w:rFonts w:ascii="黑体" w:hAnsi="宋体" w:eastAsia="黑体" w:cs="Times New Roman"/>
          <w:sz w:val="32"/>
          <w:szCs w:val="32"/>
        </w:rPr>
      </w:pPr>
      <w:r>
        <w:rPr>
          <w:rFonts w:hint="eastAsia" w:ascii="黑体" w:hAnsi="Times New Roman" w:eastAsia="黑体" w:cs="Times New Roman"/>
          <w:sz w:val="32"/>
          <w:szCs w:val="32"/>
        </w:rPr>
        <w:t xml:space="preserve">乙  方： </w:t>
      </w:r>
    </w:p>
    <w:p w14:paraId="11807299">
      <w:pPr>
        <w:jc w:val="center"/>
        <w:rPr>
          <w:rFonts w:ascii="黑体" w:hAnsi="Times New Roman" w:eastAsia="黑体" w:cs="Times New Roman"/>
          <w:sz w:val="32"/>
          <w:szCs w:val="32"/>
        </w:rPr>
      </w:pPr>
      <w:r>
        <w:rPr>
          <w:rFonts w:hint="eastAsia" w:ascii="黑体" w:hAnsi="Times New Roman" w:eastAsia="黑体" w:cs="Times New Roman"/>
          <w:sz w:val="32"/>
          <w:szCs w:val="32"/>
        </w:rPr>
        <w:t>20</w:t>
      </w:r>
      <w:r>
        <w:rPr>
          <w:rFonts w:hint="eastAsia" w:ascii="黑体" w:hAnsi="Times New Roman" w:eastAsia="黑体" w:cs="Times New Roman"/>
          <w:sz w:val="32"/>
          <w:szCs w:val="32"/>
          <w:lang w:val="en-US" w:eastAsia="zh-CN"/>
        </w:rPr>
        <w:t xml:space="preserve">  </w:t>
      </w:r>
      <w:r>
        <w:rPr>
          <w:rFonts w:hint="eastAsia" w:ascii="黑体" w:hAnsi="Times New Roman" w:eastAsia="黑体" w:cs="Times New Roman"/>
          <w:sz w:val="32"/>
          <w:szCs w:val="32"/>
        </w:rPr>
        <w:t>年   月</w:t>
      </w:r>
    </w:p>
    <w:p w14:paraId="3CDA0494">
      <w:pPr>
        <w:jc w:val="center"/>
        <w:rPr>
          <w:rFonts w:ascii="黑体" w:hAnsi="Times New Roman" w:eastAsia="黑体" w:cs="Times New Roman"/>
          <w:sz w:val="32"/>
          <w:szCs w:val="32"/>
        </w:rPr>
      </w:pPr>
    </w:p>
    <w:p w14:paraId="53581327">
      <w:pPr>
        <w:jc w:val="center"/>
        <w:rPr>
          <w:rFonts w:ascii="华文仿宋" w:hAnsi="华文仿宋" w:eastAsia="华文仿宋" w:cs="宋体"/>
          <w:b/>
          <w:bCs/>
          <w:sz w:val="28"/>
          <w:szCs w:val="28"/>
        </w:rPr>
      </w:pPr>
      <w:r>
        <w:rPr>
          <w:rFonts w:hint="eastAsia" w:ascii="黑体" w:hAnsi="Times New Roman" w:eastAsia="黑体" w:cs="Times New Roman"/>
          <w:sz w:val="32"/>
          <w:szCs w:val="32"/>
        </w:rPr>
        <w:t>中国  西安</w:t>
      </w:r>
    </w:p>
    <w:p w14:paraId="0F64983D">
      <w:pPr>
        <w:rPr>
          <w:rFonts w:ascii="黑体" w:hAnsi="Times New Roman" w:eastAsia="黑体" w:cs="Times New Roman"/>
          <w:sz w:val="32"/>
          <w:szCs w:val="32"/>
        </w:rPr>
      </w:pPr>
      <w:r>
        <w:rPr>
          <w:rFonts w:hint="eastAsia" w:ascii="黑体" w:hAnsi="Times New Roman" w:eastAsia="黑体" w:cs="Times New Roman"/>
          <w:sz w:val="32"/>
          <w:szCs w:val="32"/>
        </w:rPr>
        <w:br w:type="page"/>
      </w:r>
    </w:p>
    <w:p w14:paraId="774D90A1">
      <w:pPr>
        <w:widowControl/>
        <w:adjustRightInd w:val="0"/>
        <w:snapToGrid w:val="0"/>
        <w:spacing w:line="360" w:lineRule="auto"/>
        <w:ind w:firstLine="562" w:firstLineChars="200"/>
        <w:textAlignment w:val="baseline"/>
        <w:rPr>
          <w:rFonts w:ascii="仿宋" w:hAnsi="仿宋" w:eastAsia="仿宋" w:cs="宋体"/>
          <w:sz w:val="28"/>
          <w:szCs w:val="28"/>
          <w:u w:val="single"/>
        </w:rPr>
      </w:pPr>
      <w:r>
        <w:rPr>
          <w:rFonts w:hint="eastAsia" w:ascii="仿宋" w:hAnsi="仿宋" w:eastAsia="仿宋" w:cs="宋体"/>
          <w:b/>
          <w:bCs/>
          <w:sz w:val="28"/>
          <w:szCs w:val="28"/>
        </w:rPr>
        <w:t>甲方：</w:t>
      </w:r>
      <w:r>
        <w:rPr>
          <w:rFonts w:hint="eastAsia" w:ascii="仿宋" w:hAnsi="仿宋" w:eastAsia="仿宋" w:cs="宋体"/>
          <w:sz w:val="28"/>
          <w:szCs w:val="28"/>
        </w:rPr>
        <w:t xml:space="preserve">西安市数据局 </w:t>
      </w:r>
    </w:p>
    <w:p w14:paraId="64AE04DF">
      <w:pPr>
        <w:widowControl/>
        <w:adjustRightInd w:val="0"/>
        <w:snapToGrid w:val="0"/>
        <w:spacing w:line="360" w:lineRule="auto"/>
        <w:ind w:firstLine="562" w:firstLineChars="200"/>
        <w:textAlignment w:val="baseline"/>
        <w:rPr>
          <w:rFonts w:ascii="仿宋" w:hAnsi="仿宋" w:eastAsia="仿宋" w:cs="宋体"/>
          <w:sz w:val="28"/>
          <w:szCs w:val="28"/>
        </w:rPr>
      </w:pPr>
      <w:r>
        <w:rPr>
          <w:rFonts w:hint="eastAsia" w:ascii="仿宋" w:hAnsi="仿宋" w:eastAsia="仿宋" w:cs="宋体"/>
          <w:b/>
          <w:bCs/>
          <w:sz w:val="28"/>
          <w:szCs w:val="28"/>
        </w:rPr>
        <w:t>乙方：</w:t>
      </w:r>
      <w:r>
        <w:rPr>
          <w:rFonts w:hint="eastAsia" w:ascii="仿宋" w:hAnsi="仿宋" w:eastAsia="仿宋" w:cs="宋体"/>
          <w:b/>
          <w:bCs/>
          <w:sz w:val="28"/>
          <w:szCs w:val="28"/>
          <w:u w:val="single"/>
          <w:lang w:val="en-US" w:eastAsia="zh-CN"/>
        </w:rPr>
        <w:t xml:space="preserve">                    </w:t>
      </w:r>
      <w:r>
        <w:rPr>
          <w:rFonts w:hint="eastAsia" w:ascii="仿宋" w:hAnsi="仿宋" w:eastAsia="仿宋" w:cs="宋体"/>
          <w:sz w:val="28"/>
          <w:szCs w:val="28"/>
        </w:rPr>
        <w:t xml:space="preserve">  </w:t>
      </w:r>
    </w:p>
    <w:p w14:paraId="3053328D">
      <w:pPr>
        <w:widowControl/>
        <w:adjustRightInd w:val="0"/>
        <w:snapToGrid w:val="0"/>
        <w:spacing w:line="360" w:lineRule="auto"/>
        <w:ind w:firstLine="480" w:firstLineChars="200"/>
        <w:textAlignment w:val="baseline"/>
        <w:rPr>
          <w:rFonts w:ascii="宋体" w:hAnsi="宋体" w:eastAsia="宋体" w:cs="宋体"/>
          <w:sz w:val="24"/>
        </w:rPr>
      </w:pPr>
    </w:p>
    <w:p w14:paraId="3D32F426">
      <w:pPr>
        <w:keepNext w:val="0"/>
        <w:keepLines w:val="0"/>
        <w:pageBreakBefore w:val="0"/>
        <w:widowControl/>
        <w:kinsoku/>
        <w:wordWrap/>
        <w:overflowPunct/>
        <w:topLinePunct w:val="0"/>
        <w:bidi w:val="0"/>
        <w:adjustRightInd w:val="0"/>
        <w:snapToGrid w:val="0"/>
        <w:spacing w:line="560" w:lineRule="exact"/>
        <w:ind w:firstLine="560" w:firstLineChars="200"/>
        <w:textAlignment w:val="baseline"/>
        <w:rPr>
          <w:rFonts w:ascii="仿宋" w:hAnsi="仿宋" w:eastAsia="仿宋" w:cs="宋体"/>
          <w:sz w:val="28"/>
          <w:szCs w:val="28"/>
        </w:rPr>
      </w:pPr>
      <w:r>
        <w:rPr>
          <w:rFonts w:hint="eastAsia" w:ascii="仿宋" w:hAnsi="仿宋" w:eastAsia="仿宋" w:cs="仿宋"/>
          <w:sz w:val="28"/>
          <w:szCs w:val="28"/>
        </w:rPr>
        <w:t>为做好</w:t>
      </w:r>
      <w:r>
        <w:rPr>
          <w:rFonts w:hint="eastAsia" w:ascii="仿宋" w:hAnsi="仿宋" w:eastAsia="仿宋" w:cs="宋体"/>
          <w:b/>
          <w:bCs/>
          <w:sz w:val="28"/>
          <w:szCs w:val="28"/>
          <w:u w:val="single"/>
          <w:lang w:val="en-US" w:eastAsia="zh-CN"/>
        </w:rPr>
        <w:t xml:space="preserve">                    </w:t>
      </w:r>
      <w:r>
        <w:rPr>
          <w:rFonts w:hint="eastAsia" w:ascii="仿宋" w:hAnsi="仿宋" w:eastAsia="仿宋" w:cs="仿宋"/>
          <w:sz w:val="28"/>
          <w:szCs w:val="28"/>
        </w:rPr>
        <w:t>工作，在西安市财政局政府采购管理处的监督管理下，按照政府采购程序组织</w:t>
      </w:r>
      <w:r>
        <w:rPr>
          <w:rFonts w:hint="eastAsia" w:ascii="仿宋" w:hAnsi="仿宋" w:eastAsia="仿宋" w:cs="宋体"/>
          <w:b/>
          <w:bCs/>
          <w:sz w:val="28"/>
          <w:szCs w:val="28"/>
          <w:u w:val="single"/>
          <w:lang w:val="en-US" w:eastAsia="zh-CN"/>
        </w:rPr>
        <w:t xml:space="preserve">       </w:t>
      </w:r>
      <w:r>
        <w:rPr>
          <w:rFonts w:hint="eastAsia" w:ascii="仿宋" w:hAnsi="仿宋" w:eastAsia="仿宋" w:cs="仿宋"/>
          <w:sz w:val="28"/>
          <w:szCs w:val="28"/>
        </w:rPr>
        <w:t>，确定乙方为</w:t>
      </w:r>
      <w:r>
        <w:rPr>
          <w:rFonts w:hint="eastAsia" w:ascii="仿宋" w:hAnsi="仿宋" w:eastAsia="仿宋" w:cs="仿宋"/>
          <w:sz w:val="28"/>
          <w:szCs w:val="28"/>
          <w:u w:val="single"/>
        </w:rPr>
        <w:t xml:space="preserve">        （项目名称）          </w:t>
      </w:r>
      <w:r>
        <w:rPr>
          <w:rFonts w:hint="eastAsia" w:ascii="仿宋" w:hAnsi="仿宋" w:eastAsia="仿宋" w:cs="仿宋"/>
          <w:sz w:val="28"/>
          <w:szCs w:val="28"/>
          <w:u w:val="single"/>
          <w:lang w:val="zh-CN"/>
        </w:rPr>
        <w:t>(项目</w:t>
      </w:r>
      <w:r>
        <w:rPr>
          <w:rFonts w:hint="eastAsia" w:ascii="仿宋" w:hAnsi="仿宋" w:eastAsia="仿宋" w:cs="仿宋"/>
          <w:sz w:val="28"/>
          <w:szCs w:val="28"/>
          <w:u w:val="single"/>
        </w:rPr>
        <w:t>编号：    )</w:t>
      </w:r>
      <w:r>
        <w:rPr>
          <w:rFonts w:hint="eastAsia" w:ascii="仿宋" w:hAnsi="仿宋" w:eastAsia="仿宋" w:cs="仿宋"/>
          <w:sz w:val="28"/>
          <w:szCs w:val="28"/>
        </w:rPr>
        <w:t>成交供应商。依据《中华人民共和国民法典》和《中华人民共和国政府采购法》，以及采购文件、成交通知书，经甲、乙双方协商，达成如下合同条款。</w:t>
      </w:r>
    </w:p>
    <w:p w14:paraId="01E62271">
      <w:pPr>
        <w:keepNext w:val="0"/>
        <w:keepLines w:val="0"/>
        <w:pageBreakBefore w:val="0"/>
        <w:widowControl/>
        <w:kinsoku/>
        <w:wordWrap/>
        <w:overflowPunct/>
        <w:topLinePunct w:val="0"/>
        <w:bidi w:val="0"/>
        <w:adjustRightInd w:val="0"/>
        <w:snapToGrid w:val="0"/>
        <w:spacing w:line="560" w:lineRule="exact"/>
        <w:ind w:firstLine="643" w:firstLineChars="200"/>
        <w:textAlignment w:val="baseline"/>
        <w:outlineLvl w:val="0"/>
        <w:rPr>
          <w:rFonts w:ascii="黑体" w:hAnsi="黑体" w:eastAsia="黑体" w:cs="宋体"/>
          <w:b/>
          <w:sz w:val="32"/>
          <w:szCs w:val="32"/>
        </w:rPr>
      </w:pPr>
      <w:bookmarkStart w:id="0" w:name="_Toc27144"/>
      <w:bookmarkStart w:id="1" w:name="_Toc31615"/>
      <w:r>
        <w:rPr>
          <w:rFonts w:hint="eastAsia" w:ascii="黑体" w:hAnsi="黑体" w:eastAsia="黑体" w:cs="宋体"/>
          <w:b/>
          <w:sz w:val="32"/>
          <w:szCs w:val="32"/>
        </w:rPr>
        <w:t>一、</w:t>
      </w:r>
      <w:bookmarkEnd w:id="0"/>
      <w:bookmarkEnd w:id="1"/>
      <w:r>
        <w:rPr>
          <w:rFonts w:hint="eastAsia" w:ascii="黑体" w:hAnsi="黑体" w:eastAsia="黑体" w:cs="宋体"/>
          <w:b/>
          <w:sz w:val="32"/>
          <w:szCs w:val="32"/>
          <w:lang w:eastAsia="zh-CN"/>
        </w:rPr>
        <w:t>服务</w:t>
      </w:r>
      <w:r>
        <w:rPr>
          <w:rFonts w:hint="eastAsia" w:ascii="黑体" w:hAnsi="黑体" w:eastAsia="黑体" w:cs="宋体"/>
          <w:b/>
          <w:sz w:val="32"/>
          <w:szCs w:val="32"/>
        </w:rPr>
        <w:t>事项</w:t>
      </w:r>
    </w:p>
    <w:p w14:paraId="106A06C5">
      <w:pPr>
        <w:keepNext w:val="0"/>
        <w:keepLines w:val="0"/>
        <w:pageBreakBefore w:val="0"/>
        <w:widowControl/>
        <w:kinsoku/>
        <w:wordWrap/>
        <w:overflowPunct/>
        <w:topLinePunct w:val="0"/>
        <w:autoSpaceDE w:val="0"/>
        <w:autoSpaceDN w:val="0"/>
        <w:bidi w:val="0"/>
        <w:adjustRightInd w:val="0"/>
        <w:snapToGrid w:val="0"/>
        <w:spacing w:line="560" w:lineRule="exact"/>
        <w:ind w:firstLine="562" w:firstLineChars="200"/>
        <w:textAlignment w:val="baseline"/>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（一）评审事项</w:t>
      </w:r>
    </w:p>
    <w:p w14:paraId="095986C8">
      <w:pPr>
        <w:keepNext w:val="0"/>
        <w:keepLines w:val="0"/>
        <w:pageBreakBefore w:val="0"/>
        <w:tabs>
          <w:tab w:val="left" w:pos="8845"/>
        </w:tabs>
        <w:kinsoku/>
        <w:wordWrap/>
        <w:overflowPunct/>
        <w:topLinePunct w:val="0"/>
        <w:bidi w:val="0"/>
        <w:spacing w:before="185" w:line="560" w:lineRule="exact"/>
        <w:ind w:left="6" w:leftChars="3" w:right="148" w:firstLine="480" w:firstLineChars="200"/>
        <w:rPr>
          <w:rFonts w:ascii="仿宋" w:hAnsi="仿宋" w:eastAsia="仿宋" w:cs="宋体"/>
          <w:sz w:val="28"/>
          <w:szCs w:val="28"/>
          <w:u w:val="single"/>
        </w:rPr>
      </w:pPr>
      <w:r>
        <w:rPr>
          <w:rFonts w:hint="eastAsia" w:ascii="宋体" w:hAnsi="宋体" w:eastAsia="宋体" w:cs="宋体"/>
          <w:sz w:val="24"/>
          <w:u w:val="single"/>
          <w:lang w:bidi="ar"/>
        </w:rPr>
        <w:t xml:space="preserve"> </w:t>
      </w:r>
      <w:r>
        <w:rPr>
          <w:rFonts w:hint="eastAsia" w:ascii="宋体" w:hAnsi="宋体" w:eastAsia="宋体" w:cs="宋体"/>
          <w:sz w:val="28"/>
          <w:szCs w:val="28"/>
          <w:u w:val="single"/>
          <w:lang w:bidi="ar"/>
        </w:rPr>
        <w:t xml:space="preserve">                                                  </w:t>
      </w:r>
    </w:p>
    <w:p w14:paraId="57C44B1C">
      <w:pPr>
        <w:pStyle w:val="10"/>
        <w:keepNext w:val="0"/>
        <w:keepLines w:val="0"/>
        <w:pageBreakBefore w:val="0"/>
        <w:numPr>
          <w:ilvl w:val="0"/>
          <w:numId w:val="0"/>
        </w:numPr>
        <w:kinsoku/>
        <w:wordWrap/>
        <w:overflowPunct/>
        <w:topLinePunct w:val="0"/>
        <w:bidi w:val="0"/>
        <w:spacing w:afterAutospacing="0" w:line="560" w:lineRule="exact"/>
        <w:ind w:left="562" w:leftChars="0"/>
        <w:rPr>
          <w:b/>
          <w:bCs w:val="0"/>
        </w:rPr>
      </w:pPr>
      <w:r>
        <w:rPr>
          <w:rFonts w:hint="eastAsia"/>
          <w:b/>
          <w:bCs w:val="0"/>
          <w:lang w:eastAsia="zh-CN"/>
        </w:rPr>
        <w:t>（二）</w:t>
      </w:r>
      <w:r>
        <w:rPr>
          <w:rFonts w:hint="eastAsia"/>
          <w:b/>
          <w:bCs w:val="0"/>
        </w:rPr>
        <w:t>评审要求</w:t>
      </w:r>
    </w:p>
    <w:p w14:paraId="72224909">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w:t>
      </w:r>
      <w:r>
        <w:rPr>
          <w:rFonts w:hint="eastAsia" w:ascii="仿宋" w:hAnsi="仿宋" w:eastAsia="仿宋" w:cs="宋体"/>
          <w:sz w:val="28"/>
          <w:szCs w:val="28"/>
          <w:lang w:val="en-US" w:eastAsia="zh-CN"/>
        </w:rPr>
        <w:t>评审依据：</w:t>
      </w:r>
      <w:r>
        <w:rPr>
          <w:rFonts w:hint="eastAsia" w:ascii="仿宋" w:hAnsi="仿宋" w:eastAsia="仿宋" w:cs="宋体"/>
          <w:sz w:val="28"/>
          <w:szCs w:val="28"/>
        </w:rPr>
        <w:t xml:space="preserve">                                          </w:t>
      </w:r>
    </w:p>
    <w:p w14:paraId="7E798C74">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w:t>
      </w:r>
      <w:r>
        <w:rPr>
          <w:rFonts w:hint="eastAsia" w:ascii="仿宋" w:hAnsi="仿宋" w:eastAsia="仿宋" w:cs="宋体"/>
          <w:sz w:val="28"/>
          <w:szCs w:val="28"/>
          <w:lang w:val="en-US" w:eastAsia="zh-CN"/>
        </w:rPr>
        <w:t>评审内容及范围：</w:t>
      </w:r>
      <w:r>
        <w:rPr>
          <w:rFonts w:hint="eastAsia" w:ascii="仿宋" w:hAnsi="仿宋" w:eastAsia="仿宋" w:cs="宋体"/>
          <w:sz w:val="28"/>
          <w:szCs w:val="28"/>
        </w:rPr>
        <w:t xml:space="preserve">                                      </w:t>
      </w:r>
    </w:p>
    <w:p w14:paraId="73DD010D">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hint="eastAsia" w:ascii="仿宋" w:hAnsi="仿宋" w:eastAsia="仿宋" w:cs="宋体"/>
          <w:sz w:val="28"/>
          <w:szCs w:val="28"/>
        </w:rPr>
      </w:pPr>
      <w:r>
        <w:rPr>
          <w:rFonts w:hint="eastAsia" w:ascii="仿宋" w:hAnsi="仿宋" w:eastAsia="仿宋" w:cs="宋体"/>
          <w:sz w:val="28"/>
          <w:szCs w:val="28"/>
        </w:rPr>
        <w:t>3.</w:t>
      </w:r>
      <w:r>
        <w:rPr>
          <w:rFonts w:hint="eastAsia" w:ascii="仿宋" w:hAnsi="仿宋" w:eastAsia="仿宋" w:cs="宋体"/>
          <w:sz w:val="28"/>
          <w:szCs w:val="28"/>
          <w:lang w:val="en-US" w:eastAsia="zh-CN"/>
        </w:rPr>
        <w:t>评审人员：</w:t>
      </w:r>
      <w:r>
        <w:rPr>
          <w:rFonts w:hint="eastAsia" w:ascii="仿宋" w:hAnsi="仿宋" w:eastAsia="仿宋" w:cs="宋体"/>
          <w:sz w:val="28"/>
          <w:szCs w:val="28"/>
        </w:rPr>
        <w:t xml:space="preserve">乙方指派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lang w:val="en-US" w:eastAsia="zh-CN"/>
        </w:rPr>
        <w:t xml:space="preserve"> </w:t>
      </w:r>
      <w:r>
        <w:rPr>
          <w:rFonts w:hint="eastAsia" w:ascii="仿宋" w:hAnsi="仿宋" w:eastAsia="仿宋" w:cs="宋体"/>
          <w:sz w:val="28"/>
          <w:szCs w:val="28"/>
        </w:rPr>
        <w:t xml:space="preserve">等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人组成工作小组，其中，</w:t>
      </w:r>
      <w:r>
        <w:rPr>
          <w:rFonts w:hint="eastAsia" w:ascii="仿宋" w:hAnsi="仿宋" w:eastAsia="仿宋" w:cs="宋体"/>
          <w:sz w:val="28"/>
          <w:szCs w:val="28"/>
          <w:lang w:val="en-US" w:eastAsia="zh-CN"/>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（职称、资质）不少于</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人。</w:t>
      </w:r>
    </w:p>
    <w:p w14:paraId="292BB3AF">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lang w:val="en-US" w:eastAsia="zh-CN"/>
        </w:rPr>
        <w:t xml:space="preserve">4.其他要求：                                                     </w:t>
      </w:r>
    </w:p>
    <w:p w14:paraId="0828C54C">
      <w:pPr>
        <w:keepNext w:val="0"/>
        <w:keepLines w:val="0"/>
        <w:pageBreakBefore w:val="0"/>
        <w:widowControl/>
        <w:kinsoku/>
        <w:wordWrap/>
        <w:overflowPunct/>
        <w:topLinePunct w:val="0"/>
        <w:bidi w:val="0"/>
        <w:adjustRightInd w:val="0"/>
        <w:snapToGrid w:val="0"/>
        <w:spacing w:afterAutospacing="0" w:line="560" w:lineRule="exact"/>
        <w:ind w:firstLine="562" w:firstLineChars="200"/>
        <w:textAlignment w:val="baseline"/>
        <w:outlineLvl w:val="0"/>
        <w:rPr>
          <w:rFonts w:ascii="黑体" w:hAnsi="黑体" w:eastAsia="黑体" w:cs="宋体"/>
          <w:b/>
          <w:sz w:val="28"/>
          <w:szCs w:val="28"/>
        </w:rPr>
      </w:pPr>
      <w:bookmarkStart w:id="2" w:name="_Toc11"/>
      <w:bookmarkStart w:id="3" w:name="_Toc18030"/>
      <w:r>
        <w:rPr>
          <w:rFonts w:hint="eastAsia" w:ascii="黑体" w:hAnsi="黑体" w:eastAsia="黑体" w:cs="宋体"/>
          <w:b/>
          <w:sz w:val="28"/>
          <w:szCs w:val="28"/>
        </w:rPr>
        <w:t>二、合同价款</w:t>
      </w:r>
      <w:bookmarkEnd w:id="2"/>
      <w:bookmarkEnd w:id="3"/>
    </w:p>
    <w:p w14:paraId="73F17D4F">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1.合同金额（大写）：</w:t>
      </w:r>
      <w:r>
        <w:rPr>
          <w:rFonts w:hint="eastAsia" w:asciiTheme="majorEastAsia" w:hAnsiTheme="majorEastAsia" w:eastAsiaTheme="majorEastAsia" w:cstheme="majorEastAsia"/>
          <w:sz w:val="28"/>
          <w:szCs w:val="28"/>
          <w:u w:val="single"/>
        </w:rPr>
        <w:t xml:space="preserve">                   （¥：      ）</w:t>
      </w:r>
      <w:r>
        <w:rPr>
          <w:rFonts w:hint="eastAsia" w:ascii="仿宋" w:hAnsi="仿宋" w:eastAsia="仿宋" w:cs="宋体"/>
          <w:sz w:val="28"/>
          <w:szCs w:val="28"/>
        </w:rPr>
        <w:t>。</w:t>
      </w:r>
    </w:p>
    <w:p w14:paraId="6D69B1B9">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2.合同总价即中标价，为一次性报价，不受市场价变化或实际工作量变化的影响。合同价款为完成本项目所需的资料费、差旅费、耗材器材费、会议费、专家咨询费、成果评审费、税费及其他相关的一切费用。</w:t>
      </w:r>
    </w:p>
    <w:p w14:paraId="0F5C0BC5">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三、付款方式</w:t>
      </w:r>
    </w:p>
    <w:p w14:paraId="43A8D3E3">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（一）分期付款</w:t>
      </w:r>
    </w:p>
    <w:p w14:paraId="7C320ECB">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1.合同签订后，待2026年度信息化专项资金预算下达，达到付款条件起 20 日内，甲方向乙方支付合同价款</w:t>
      </w:r>
      <w:r>
        <w:rPr>
          <w:rFonts w:hint="eastAsia" w:ascii="仿宋" w:hAnsi="仿宋" w:eastAsia="仿宋" w:cs="宋体"/>
          <w:sz w:val="28"/>
          <w:szCs w:val="28"/>
          <w:u w:val="single"/>
        </w:rPr>
        <w:t>40</w:t>
      </w:r>
      <w:r>
        <w:rPr>
          <w:rFonts w:hint="eastAsia" w:ascii="仿宋" w:hAnsi="仿宋" w:eastAsia="仿宋" w:cs="宋体"/>
          <w:sz w:val="28"/>
          <w:szCs w:val="28"/>
        </w:rPr>
        <w:t>%，为（大写）：</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r>
        <w:rPr>
          <w:rFonts w:hint="eastAsia" w:ascii="宋体" w:hAnsi="宋体" w:eastAsia="宋体" w:cs="宋体"/>
          <w:sz w:val="28"/>
          <w:szCs w:val="28"/>
        </w:rPr>
        <w:t>¥</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p>
    <w:p w14:paraId="25B73220">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u w:val="single"/>
        </w:rPr>
      </w:pPr>
      <w:r>
        <w:rPr>
          <w:rFonts w:hint="eastAsia" w:ascii="仿宋" w:hAnsi="仿宋" w:eastAsia="仿宋" w:cs="宋体"/>
          <w:sz w:val="28"/>
          <w:szCs w:val="28"/>
        </w:rPr>
        <w:t>2.</w:t>
      </w:r>
      <w:r>
        <w:rPr>
          <w:rFonts w:hint="eastAsia" w:ascii="仿宋" w:hAnsi="仿宋" w:eastAsia="仿宋" w:cs="宋体"/>
          <w:sz w:val="28"/>
          <w:szCs w:val="28"/>
          <w:u w:val="single"/>
        </w:rPr>
        <w:t>合同执行完毕</w:t>
      </w:r>
      <w:r>
        <w:rPr>
          <w:rFonts w:hint="eastAsia" w:ascii="仿宋" w:hAnsi="仿宋" w:eastAsia="仿宋" w:cs="宋体"/>
          <w:sz w:val="28"/>
          <w:szCs w:val="28"/>
          <w:u w:val="single"/>
          <w:lang w:val="en-US" w:eastAsia="zh-CN"/>
        </w:rPr>
        <w:t>并验收合格</w:t>
      </w:r>
      <w:r>
        <w:rPr>
          <w:rFonts w:hint="eastAsia" w:ascii="仿宋" w:hAnsi="仿宋" w:eastAsia="仿宋" w:cs="宋体"/>
          <w:sz w:val="28"/>
          <w:szCs w:val="28"/>
          <w:u w:val="single"/>
        </w:rPr>
        <w:t>后，</w:t>
      </w:r>
      <w:r>
        <w:rPr>
          <w:rFonts w:hint="eastAsia" w:ascii="仿宋" w:hAnsi="仿宋" w:eastAsia="仿宋" w:cs="宋体"/>
          <w:sz w:val="28"/>
          <w:szCs w:val="28"/>
          <w:u w:val="single"/>
          <w:lang w:val="en-US" w:eastAsia="zh-CN"/>
        </w:rPr>
        <w:t>依据《陕西省执行政府指导价的工程造价咨询服务收费项目和标准》，结合实际工作量对剩余60%款项进行结算。结算时，项目应付款总额的10%需根据服务绩效考核结果确定最终支付金额。实际工作量满足项目需求且绩效考核得分为90分及以上，达到付款条件起 20 日内，支付合同总金额的 60.00%。</w:t>
      </w:r>
    </w:p>
    <w:p w14:paraId="0EBC6CFF">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（二）支付方式：银行转账。乙方指定收款银行账户如下：</w:t>
      </w:r>
    </w:p>
    <w:p w14:paraId="0072359E">
      <w:pPr>
        <w:widowControl/>
        <w:autoSpaceDE w:val="0"/>
        <w:autoSpaceDN w:val="0"/>
        <w:adjustRightInd w:val="0"/>
        <w:snapToGrid w:val="0"/>
        <w:spacing w:line="360" w:lineRule="auto"/>
        <w:ind w:firstLine="560" w:firstLineChars="200"/>
        <w:textAlignment w:val="baseline"/>
        <w:rPr>
          <w:rFonts w:hint="default" w:ascii="仿宋" w:hAnsi="仿宋" w:eastAsia="仿宋" w:cs="宋体"/>
          <w:sz w:val="28"/>
          <w:szCs w:val="28"/>
          <w:u w:val="single"/>
          <w:lang w:val="en-US" w:eastAsia="zh-CN"/>
        </w:rPr>
      </w:pPr>
      <w:r>
        <w:rPr>
          <w:rFonts w:hint="eastAsia" w:ascii="仿宋" w:hAnsi="仿宋" w:eastAsia="仿宋" w:cs="宋体"/>
          <w:sz w:val="28"/>
          <w:szCs w:val="28"/>
        </w:rPr>
        <w:t>开户银行：</w:t>
      </w:r>
      <w:r>
        <w:rPr>
          <w:rFonts w:hint="eastAsia" w:ascii="仿宋" w:hAnsi="仿宋" w:eastAsia="仿宋" w:cs="宋体"/>
          <w:sz w:val="28"/>
          <w:szCs w:val="28"/>
          <w:u w:val="single"/>
          <w:lang w:val="en-US" w:eastAsia="zh-CN"/>
        </w:rPr>
        <w:t xml:space="preserve">                </w:t>
      </w:r>
    </w:p>
    <w:p w14:paraId="7FBE93A8">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开户账号：</w:t>
      </w:r>
      <w:r>
        <w:rPr>
          <w:rFonts w:hint="eastAsia" w:ascii="仿宋" w:hAnsi="仿宋" w:eastAsia="仿宋" w:cs="宋体"/>
          <w:sz w:val="28"/>
          <w:szCs w:val="28"/>
          <w:u w:val="single"/>
          <w:lang w:val="en-US" w:eastAsia="zh-CN"/>
        </w:rPr>
        <w:t xml:space="preserve">              </w:t>
      </w:r>
    </w:p>
    <w:p w14:paraId="240F4F8C">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开户人：</w:t>
      </w:r>
      <w:r>
        <w:rPr>
          <w:rFonts w:hint="eastAsia" w:ascii="仿宋" w:hAnsi="仿宋" w:eastAsia="仿宋" w:cs="宋体"/>
          <w:sz w:val="28"/>
          <w:szCs w:val="28"/>
          <w:u w:val="single"/>
          <w:lang w:val="en-US" w:eastAsia="zh-CN"/>
        </w:rPr>
        <w:t xml:space="preserve">              </w:t>
      </w:r>
    </w:p>
    <w:p w14:paraId="2D0C0B48">
      <w:pPr>
        <w:widowControl/>
        <w:autoSpaceDE w:val="0"/>
        <w:autoSpaceDN w:val="0"/>
        <w:adjustRightInd w:val="0"/>
        <w:snapToGrid w:val="0"/>
        <w:spacing w:line="360" w:lineRule="auto"/>
        <w:ind w:firstLine="560" w:firstLineChars="200"/>
        <w:textAlignment w:val="baseline"/>
        <w:rPr>
          <w:rFonts w:ascii="宋体" w:hAnsi="宋体" w:eastAsia="宋体" w:cs="宋体"/>
          <w:sz w:val="24"/>
        </w:rPr>
      </w:pPr>
      <w:r>
        <w:rPr>
          <w:rFonts w:hint="eastAsia" w:ascii="仿宋" w:hAnsi="仿宋" w:eastAsia="仿宋" w:cs="宋体"/>
          <w:sz w:val="28"/>
          <w:szCs w:val="28"/>
        </w:rPr>
        <w:t>（三）结算方式：由甲方负责结算，乙方在接受付款前，开具全额发票给甲方。</w:t>
      </w:r>
    </w:p>
    <w:p w14:paraId="66AA559C">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四、服务期限</w:t>
      </w:r>
    </w:p>
    <w:p w14:paraId="5742DE1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服务期限为</w:t>
      </w:r>
      <w:r>
        <w:rPr>
          <w:rFonts w:hint="eastAsia" w:ascii="仿宋" w:hAnsi="仿宋" w:eastAsia="仿宋" w:cs="仿宋"/>
          <w:spacing w:val="4"/>
          <w:sz w:val="28"/>
          <w:szCs w:val="28"/>
          <w:u w:val="single"/>
        </w:rPr>
        <w:t>自合同签订之日起一年</w:t>
      </w:r>
      <w:r>
        <w:rPr>
          <w:rFonts w:hint="eastAsia" w:ascii="仿宋" w:hAnsi="仿宋" w:eastAsia="仿宋" w:cs="宋体"/>
          <w:bCs/>
          <w:sz w:val="28"/>
          <w:szCs w:val="28"/>
        </w:rPr>
        <w:t>。</w:t>
      </w:r>
    </w:p>
    <w:p w14:paraId="081A7FE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如服务周期内项目咨询服务内容未交付的，服务期限延长至项目服务完结，甲方验收通过之日止。</w:t>
      </w:r>
    </w:p>
    <w:p w14:paraId="576D44D3">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五、双方权利义务</w:t>
      </w:r>
    </w:p>
    <w:p w14:paraId="75B0279B">
      <w:pPr>
        <w:widowControl/>
        <w:adjustRightInd w:val="0"/>
        <w:snapToGrid w:val="0"/>
        <w:spacing w:line="360" w:lineRule="auto"/>
        <w:ind w:firstLine="562" w:firstLineChars="200"/>
        <w:textAlignment w:val="baseline"/>
        <w:outlineLvl w:val="0"/>
        <w:rPr>
          <w:rFonts w:ascii="仿宋" w:hAnsi="仿宋" w:eastAsia="仿宋" w:cs="宋体"/>
          <w:b/>
          <w:bCs/>
          <w:sz w:val="28"/>
          <w:szCs w:val="28"/>
        </w:rPr>
      </w:pPr>
      <w:bookmarkStart w:id="4" w:name="_Toc11630"/>
      <w:bookmarkStart w:id="5" w:name="_Toc19974"/>
      <w:r>
        <w:rPr>
          <w:rFonts w:hint="eastAsia" w:ascii="仿宋" w:hAnsi="仿宋" w:eastAsia="仿宋" w:cs="宋体"/>
          <w:b/>
          <w:bCs/>
          <w:sz w:val="28"/>
          <w:szCs w:val="28"/>
        </w:rPr>
        <w:t>（一）甲方的权利</w:t>
      </w:r>
      <w:bookmarkEnd w:id="4"/>
      <w:bookmarkEnd w:id="5"/>
      <w:r>
        <w:rPr>
          <w:rFonts w:hint="eastAsia" w:ascii="仿宋" w:hAnsi="仿宋" w:eastAsia="仿宋" w:cs="宋体"/>
          <w:b/>
          <w:bCs/>
          <w:sz w:val="28"/>
          <w:szCs w:val="28"/>
        </w:rPr>
        <w:t>义务</w:t>
      </w:r>
    </w:p>
    <w:p w14:paraId="63D70E56">
      <w:pPr>
        <w:widowControl/>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1.甲方有权向乙方询问工作进展情况及相关的内容。甲方有权阐述对具体问题的意见和建议。</w:t>
      </w:r>
    </w:p>
    <w:p w14:paraId="3BEAAE1B">
      <w:pPr>
        <w:widowControl/>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2.当甲方认定专业人员不按合同履行其职责，或与第三人串通给甲方造成经济损失的，甲方有权要求更换专业人员，直至终止合同并要求乙方承担相应的赔偿责任。</w:t>
      </w:r>
    </w:p>
    <w:p w14:paraId="6026CFFF">
      <w:pPr>
        <w:widowControl/>
        <w:adjustRightInd w:val="0"/>
        <w:snapToGrid w:val="0"/>
        <w:spacing w:line="360" w:lineRule="auto"/>
        <w:ind w:firstLine="560" w:firstLineChars="200"/>
        <w:textAlignment w:val="baseline"/>
        <w:rPr>
          <w:rFonts w:ascii="仿宋" w:hAnsi="仿宋" w:eastAsia="仿宋" w:cs="宋体"/>
          <w:sz w:val="28"/>
          <w:szCs w:val="28"/>
        </w:rPr>
      </w:pPr>
      <w:bookmarkStart w:id="6" w:name="_Toc29697"/>
      <w:bookmarkStart w:id="7" w:name="_Toc23913"/>
      <w:r>
        <w:rPr>
          <w:rFonts w:hint="eastAsia" w:ascii="仿宋" w:hAnsi="仿宋" w:eastAsia="仿宋" w:cs="宋体"/>
          <w:sz w:val="28"/>
          <w:szCs w:val="28"/>
        </w:rPr>
        <w:t>3.甲方应当授权胜任本项目的代表</w:t>
      </w:r>
      <w:r>
        <w:rPr>
          <w:rFonts w:hint="eastAsia" w:ascii="仿宋" w:hAnsi="仿宋" w:eastAsia="仿宋" w:cs="仿宋"/>
          <w:sz w:val="28"/>
          <w:szCs w:val="28"/>
        </w:rPr>
        <w:t>（联系人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及邮箱</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r>
        <w:rPr>
          <w:rFonts w:hint="eastAsia" w:ascii="仿宋" w:hAnsi="仿宋" w:eastAsia="仿宋" w:cs="宋体"/>
          <w:sz w:val="28"/>
          <w:szCs w:val="28"/>
        </w:rPr>
        <w:t>，负责与乙方联系。</w:t>
      </w:r>
    </w:p>
    <w:bookmarkEnd w:id="6"/>
    <w:bookmarkEnd w:id="7"/>
    <w:p w14:paraId="5142E6E6">
      <w:pPr>
        <w:widowControl/>
        <w:adjustRightInd w:val="0"/>
        <w:snapToGrid w:val="0"/>
        <w:spacing w:line="360" w:lineRule="auto"/>
        <w:ind w:firstLine="562" w:firstLineChars="200"/>
        <w:textAlignment w:val="baseline"/>
        <w:rPr>
          <w:rFonts w:ascii="仿宋" w:hAnsi="仿宋" w:eastAsia="仿宋" w:cs="宋体"/>
          <w:b/>
          <w:sz w:val="28"/>
          <w:szCs w:val="28"/>
        </w:rPr>
      </w:pPr>
      <w:r>
        <w:rPr>
          <w:rFonts w:hint="eastAsia" w:ascii="仿宋" w:hAnsi="仿宋" w:eastAsia="仿宋" w:cs="宋体"/>
          <w:b/>
          <w:sz w:val="28"/>
          <w:szCs w:val="28"/>
        </w:rPr>
        <w:t>（二）乙方权利义务</w:t>
      </w:r>
    </w:p>
    <w:p w14:paraId="0A1EA88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sz w:val="28"/>
          <w:szCs w:val="28"/>
        </w:rPr>
        <w:t>1.</w:t>
      </w:r>
      <w:r>
        <w:rPr>
          <w:rFonts w:hint="eastAsia" w:ascii="仿宋" w:hAnsi="仿宋" w:eastAsia="仿宋" w:cs="宋体"/>
          <w:bCs/>
          <w:sz w:val="28"/>
          <w:szCs w:val="28"/>
        </w:rPr>
        <w:t>乙方在服务过程中，如甲方提供的资料不明确时可向甲方提出书面报告。</w:t>
      </w:r>
    </w:p>
    <w:p w14:paraId="2279EF7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2.乙方在服务过程中，应当对</w:t>
      </w:r>
      <w:r>
        <w:rPr>
          <w:rFonts w:hint="eastAsia" w:ascii="仿宋" w:hAnsi="仿宋" w:eastAsia="仿宋" w:cs="宋体"/>
          <w:bCs/>
          <w:sz w:val="28"/>
          <w:szCs w:val="28"/>
          <w:highlight w:val="none"/>
          <w:lang w:val="en-US" w:eastAsia="zh-CN"/>
        </w:rPr>
        <w:t>甲方</w:t>
      </w:r>
      <w:r>
        <w:rPr>
          <w:rFonts w:hint="eastAsia" w:ascii="仿宋" w:hAnsi="仿宋" w:eastAsia="仿宋" w:cs="宋体"/>
          <w:bCs/>
          <w:sz w:val="28"/>
          <w:szCs w:val="28"/>
        </w:rPr>
        <w:t>提出与本项目业务有关的问题进行核对或查问。</w:t>
      </w:r>
    </w:p>
    <w:p w14:paraId="230609C9">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3.向甲方提供与本项目有关的资料，包括项目人员的资质证书及承担本业务的专业人员名单、工作计划等，并按合同约定的范围实施业务。</w:t>
      </w:r>
    </w:p>
    <w:p w14:paraId="37875472">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4.在项目服务期间，乙方应按照甲方的要求保证及时到项目现场。同时，针对项目出现较大争议的情况，乙方有效提出解决争议的方案。</w:t>
      </w:r>
    </w:p>
    <w:p w14:paraId="46A30DB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sz w:val="28"/>
          <w:szCs w:val="28"/>
        </w:rPr>
        <w:t>5.</w:t>
      </w:r>
      <w:r>
        <w:rPr>
          <w:rFonts w:hint="eastAsia" w:ascii="仿宋" w:hAnsi="仿宋" w:eastAsia="仿宋" w:cs="宋体"/>
          <w:bCs/>
          <w:sz w:val="28"/>
          <w:szCs w:val="28"/>
        </w:rPr>
        <w:t>乙方需派一名项目经理</w:t>
      </w:r>
      <w:r>
        <w:rPr>
          <w:rFonts w:hint="eastAsia" w:ascii="仿宋" w:hAnsi="仿宋" w:eastAsia="仿宋" w:cs="宋体"/>
          <w:sz w:val="28"/>
          <w:szCs w:val="28"/>
        </w:rPr>
        <w:t>（联系人姓名</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及邮箱</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r>
        <w:rPr>
          <w:rFonts w:hint="eastAsia" w:ascii="仿宋" w:hAnsi="仿宋" w:eastAsia="仿宋" w:cs="宋体"/>
          <w:bCs/>
          <w:sz w:val="28"/>
          <w:szCs w:val="28"/>
        </w:rPr>
        <w:t>，直接与甲方沟通，项目经理接收甲方提出的问题与要求，并及时向公司申请调动资源，解决在项目实施过程中遇到的问题。原则上合同期内不能更换项目经理，如遇特殊原因，更换者应具备同等资格条件，并提前三个工作日报甲方同意。</w:t>
      </w:r>
    </w:p>
    <w:p w14:paraId="7681B439">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highlight w:val="none"/>
        </w:rPr>
      </w:pPr>
      <w:r>
        <w:rPr>
          <w:rFonts w:hint="eastAsia" w:ascii="仿宋" w:hAnsi="仿宋" w:eastAsia="仿宋" w:cs="宋体"/>
          <w:sz w:val="28"/>
          <w:szCs w:val="28"/>
          <w:highlight w:val="none"/>
        </w:rPr>
        <w:t>6.</w:t>
      </w:r>
      <w:r>
        <w:rPr>
          <w:rFonts w:hint="eastAsia" w:ascii="仿宋" w:hAnsi="仿宋" w:eastAsia="仿宋" w:cs="宋体"/>
          <w:sz w:val="28"/>
          <w:szCs w:val="28"/>
          <w:highlight w:val="none"/>
          <w:lang w:eastAsia="zh-CN"/>
        </w:rPr>
        <w:t>所提</w:t>
      </w:r>
      <w:r>
        <w:rPr>
          <w:rFonts w:hint="eastAsia" w:ascii="仿宋" w:hAnsi="仿宋" w:eastAsia="仿宋" w:cs="宋体"/>
          <w:sz w:val="28"/>
          <w:szCs w:val="28"/>
          <w:highlight w:val="none"/>
        </w:rPr>
        <w:t>供的成果报告必须保证是符合国家相关规定。乙方提供相关成果报告确保客观性、真实性、合法性。乙方应按照执业准则、规则履行审核义务，按照约定时间全面完成审核业务，出具符合甲方要求的书面核查报告，并保证核查报告的真实性和准确性，对出具的审核结论的真实性、合法性、准确性负有永久的法律责任</w:t>
      </w:r>
      <w:r>
        <w:rPr>
          <w:rFonts w:hint="eastAsia" w:ascii="仿宋" w:hAnsi="仿宋" w:eastAsia="仿宋" w:cs="宋体"/>
          <w:sz w:val="28"/>
          <w:szCs w:val="28"/>
          <w:highlight w:val="none"/>
          <w:lang w:eastAsia="zh-CN"/>
        </w:rPr>
        <w:t>，</w:t>
      </w:r>
      <w:r>
        <w:rPr>
          <w:rFonts w:hint="eastAsia" w:ascii="仿宋" w:hAnsi="仿宋" w:eastAsia="仿宋" w:cs="宋体"/>
          <w:sz w:val="28"/>
          <w:szCs w:val="28"/>
          <w:highlight w:val="none"/>
        </w:rPr>
        <w:t>保证甲方不会因使用乙方提供的核查报告而承担任何责任。对核查过程中发现的问题应及时、全面的告知甲方，并提出处理建议及依据。</w:t>
      </w:r>
    </w:p>
    <w:p w14:paraId="4BB4FDD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lang w:val="en-US" w:eastAsia="zh-CN"/>
        </w:rPr>
        <w:t>7</w:t>
      </w:r>
      <w:r>
        <w:rPr>
          <w:rFonts w:hint="eastAsia" w:ascii="仿宋" w:hAnsi="仿宋" w:eastAsia="仿宋" w:cs="宋体"/>
          <w:sz w:val="28"/>
          <w:szCs w:val="28"/>
        </w:rPr>
        <w:t>.乙方提供工作成果不存在侵犯他人知识产权的事宜，若在完成工作成果中需要获取他人资料或许可的，已经过对方同意并支付了相应的服务费。</w:t>
      </w:r>
    </w:p>
    <w:p w14:paraId="41184EB3">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4"/>
        </w:rPr>
      </w:pPr>
      <w:r>
        <w:rPr>
          <w:rFonts w:hint="eastAsia" w:ascii="仿宋" w:hAnsi="仿宋" w:eastAsia="仿宋" w:cs="宋体"/>
          <w:sz w:val="28"/>
          <w:szCs w:val="28"/>
          <w:lang w:val="en-US" w:eastAsia="zh-CN"/>
        </w:rPr>
        <w:t>8</w:t>
      </w:r>
      <w:r>
        <w:rPr>
          <w:rFonts w:hint="eastAsia" w:ascii="仿宋" w:hAnsi="仿宋" w:eastAsia="仿宋" w:cs="宋体"/>
          <w:sz w:val="28"/>
          <w:szCs w:val="28"/>
        </w:rPr>
        <w:t>.乙方不得转让、分包给其它单位或个人。</w:t>
      </w:r>
    </w:p>
    <w:p w14:paraId="744589B7">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六、服务承诺</w:t>
      </w:r>
    </w:p>
    <w:p w14:paraId="2897255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乙方所供服务必须执行下列条款：</w:t>
      </w:r>
    </w:p>
    <w:p w14:paraId="1C2BD16D">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1.服务方案和方式科学、可行，人员配置合理，全面满足要求。</w:t>
      </w:r>
    </w:p>
    <w:p w14:paraId="7648EB23">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2.符合国家有关服务规范要求，确保各项服务达到最佳运行效果。</w:t>
      </w:r>
    </w:p>
    <w:p w14:paraId="3739CFCA">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3.乙方提供的服务，若发生侵权而产生的一切后果，由乙方负责。甲方保留索赔权力。</w:t>
      </w:r>
    </w:p>
    <w:p w14:paraId="0D0B94F1">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4.乙方提供服务必须保持中立地位，不得无故干涉项目单位的日常经营活动。</w:t>
      </w:r>
    </w:p>
    <w:p w14:paraId="5780DAB8">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七、验收标准</w:t>
      </w:r>
    </w:p>
    <w:p w14:paraId="70B833F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履约验收：乙方应在约定完成评价日之前10个工作日向甲方提供报告正式稿及相关佐证资料（工作底稿），由甲方组织对工作成果进行审查验收。乙方应全程参加，并按甲方要求进行修改完善评价报告和相关资料，直至满足甲方要求并经甲方审核确认。</w:t>
      </w:r>
    </w:p>
    <w:p w14:paraId="67DBBDC5">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2.验收标准：</w:t>
      </w:r>
    </w:p>
    <w:p w14:paraId="6607416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（1）乙方所出具的评审报告应遵守应做到内容完整、依据充分、数据真实、逻辑清晰、分析透彻、结果客观、建议可行。</w:t>
      </w:r>
    </w:p>
    <w:p w14:paraId="0F6CCB37">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乙方按照项目审核服务有关程序要求、工作流程及审核标准开展审核服务工作，在规定时限内完成工作任务，并提交合格的项目审核报告。对报告质量、相关数据和结论的真实性负责，并承担相关保密责任。</w:t>
      </w:r>
    </w:p>
    <w:p w14:paraId="28424B3E">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宋体"/>
          <w:bCs/>
          <w:sz w:val="28"/>
          <w:szCs w:val="28"/>
        </w:rPr>
      </w:pPr>
      <w:r>
        <w:rPr>
          <w:rFonts w:hint="eastAsia" w:ascii="仿宋" w:hAnsi="仿宋" w:eastAsia="仿宋" w:cs="宋体"/>
          <w:bCs/>
          <w:sz w:val="28"/>
          <w:szCs w:val="28"/>
        </w:rPr>
        <w:t>（3）正式的项目服务报告应该包括证明性材料、结论性材料等。</w:t>
      </w:r>
    </w:p>
    <w:p w14:paraId="1DF908A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宋体"/>
          <w:bCs/>
          <w:sz w:val="28"/>
          <w:szCs w:val="28"/>
          <w:lang w:val="en-US" w:eastAsia="zh-CN"/>
        </w:rPr>
      </w:pPr>
      <w:r>
        <w:rPr>
          <w:rFonts w:hint="eastAsia" w:ascii="仿宋" w:hAnsi="仿宋" w:eastAsia="仿宋" w:cs="宋体"/>
          <w:bCs/>
          <w:sz w:val="28"/>
          <w:szCs w:val="28"/>
        </w:rPr>
        <w:t>（</w:t>
      </w:r>
      <w:r>
        <w:rPr>
          <w:rFonts w:hint="eastAsia" w:ascii="仿宋" w:hAnsi="仿宋" w:eastAsia="仿宋" w:cs="宋体"/>
          <w:bCs/>
          <w:sz w:val="28"/>
          <w:szCs w:val="28"/>
          <w:lang w:val="en-US" w:eastAsia="zh-CN"/>
        </w:rPr>
        <w:t>4</w:t>
      </w:r>
      <w:r>
        <w:rPr>
          <w:rFonts w:hint="eastAsia" w:ascii="仿宋" w:hAnsi="仿宋" w:eastAsia="仿宋" w:cs="宋体"/>
          <w:bCs/>
          <w:sz w:val="28"/>
          <w:szCs w:val="28"/>
        </w:rPr>
        <w:t>）</w:t>
      </w:r>
      <w:r>
        <w:rPr>
          <w:rFonts w:hint="eastAsia" w:ascii="仿宋" w:hAnsi="仿宋" w:eastAsia="仿宋" w:cs="宋体"/>
          <w:bCs/>
          <w:sz w:val="28"/>
          <w:szCs w:val="28"/>
          <w:lang w:val="en-US" w:eastAsia="zh-CN"/>
        </w:rPr>
        <w:t>乙方应确保项目团队人员自合同签订之日起具备合同约定的专业资质，并维持核心人员的稳定性。</w:t>
      </w:r>
    </w:p>
    <w:p w14:paraId="477790AD">
      <w:pPr>
        <w:widowControl/>
        <w:autoSpaceDE w:val="0"/>
        <w:autoSpaceDN w:val="0"/>
        <w:adjustRightInd w:val="0"/>
        <w:snapToGrid w:val="0"/>
        <w:spacing w:line="360" w:lineRule="auto"/>
        <w:ind w:firstLine="560" w:firstLineChars="200"/>
        <w:textAlignment w:val="baseline"/>
        <w:rPr>
          <w:rFonts w:hint="eastAsia" w:ascii="仿宋" w:hAnsi="仿宋" w:eastAsia="仿宋" w:cs="宋体"/>
          <w:bCs/>
          <w:sz w:val="28"/>
          <w:szCs w:val="28"/>
        </w:rPr>
      </w:pPr>
      <w:r>
        <w:rPr>
          <w:rFonts w:hint="eastAsia" w:ascii="仿宋" w:hAnsi="仿宋" w:eastAsia="仿宋" w:cs="宋体"/>
          <w:bCs/>
          <w:sz w:val="28"/>
          <w:szCs w:val="28"/>
        </w:rPr>
        <w:t>（</w:t>
      </w:r>
      <w:r>
        <w:rPr>
          <w:rFonts w:hint="eastAsia" w:ascii="仿宋" w:hAnsi="仿宋" w:eastAsia="仿宋" w:cs="宋体"/>
          <w:bCs/>
          <w:sz w:val="28"/>
          <w:szCs w:val="28"/>
          <w:lang w:val="en-US" w:eastAsia="zh-CN"/>
        </w:rPr>
        <w:t>5</w:t>
      </w:r>
      <w:r>
        <w:rPr>
          <w:rFonts w:hint="eastAsia" w:ascii="仿宋" w:hAnsi="仿宋" w:eastAsia="仿宋" w:cs="宋体"/>
          <w:bCs/>
          <w:sz w:val="28"/>
          <w:szCs w:val="28"/>
        </w:rPr>
        <w:t>）</w:t>
      </w:r>
      <w:r>
        <w:rPr>
          <w:rFonts w:hint="eastAsia" w:ascii="仿宋" w:hAnsi="仿宋" w:eastAsia="仿宋" w:cs="宋体"/>
          <w:bCs/>
          <w:sz w:val="28"/>
          <w:szCs w:val="28"/>
          <w:lang w:val="en-US" w:eastAsia="zh-CN"/>
        </w:rPr>
        <w:t>项目服务绩效考核标准详见服务绩效考核表（附件）。</w:t>
      </w:r>
    </w:p>
    <w:p w14:paraId="410C589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3.其他要求（验收依据）：</w:t>
      </w:r>
    </w:p>
    <w:p w14:paraId="5EB834F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（1）招标文件、投标文件、澄清表（函）；</w:t>
      </w:r>
    </w:p>
    <w:p w14:paraId="4146D2D6">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（2）本合同及附件文本；</w:t>
      </w:r>
    </w:p>
    <w:p w14:paraId="302E0EC9">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（3）符合国家相应的标准、规范；</w:t>
      </w:r>
    </w:p>
    <w:p w14:paraId="6E45A2D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（4）双方拟定的其他条款。</w:t>
      </w:r>
    </w:p>
    <w:p w14:paraId="2D08B590">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八、工作成果（评审报告）</w:t>
      </w:r>
    </w:p>
    <w:p w14:paraId="1A7DB433">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乙方按照甲方具体委托完成服务工作，并</w:t>
      </w:r>
      <w:r>
        <w:rPr>
          <w:rFonts w:hint="eastAsia" w:ascii="仿宋" w:hAnsi="仿宋" w:eastAsia="仿宋" w:cs="宋体"/>
          <w:bCs/>
          <w:sz w:val="28"/>
          <w:szCs w:val="28"/>
          <w:lang w:eastAsia="zh-CN"/>
        </w:rPr>
        <w:t>按照甲方要求提供工作成果</w:t>
      </w:r>
      <w:r>
        <w:rPr>
          <w:rFonts w:hint="eastAsia" w:ascii="仿宋" w:hAnsi="仿宋" w:eastAsia="仿宋" w:cs="宋体"/>
          <w:bCs/>
          <w:sz w:val="28"/>
          <w:szCs w:val="28"/>
        </w:rPr>
        <w:t>。</w:t>
      </w:r>
    </w:p>
    <w:tbl>
      <w:tblPr>
        <w:tblStyle w:val="6"/>
        <w:tblW w:w="9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699"/>
        <w:gridCol w:w="1680"/>
        <w:gridCol w:w="5094"/>
        <w:gridCol w:w="791"/>
        <w:gridCol w:w="1193"/>
      </w:tblGrid>
      <w:tr w14:paraId="759C5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92" w:hRule="exact"/>
          <w:jc w:val="center"/>
        </w:trPr>
        <w:tc>
          <w:tcPr>
            <w:tcW w:w="699" w:type="dxa"/>
            <w:noWrap w:val="0"/>
            <w:vAlign w:val="center"/>
          </w:tcPr>
          <w:p w14:paraId="56661F6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序号</w:t>
            </w:r>
          </w:p>
        </w:tc>
        <w:tc>
          <w:tcPr>
            <w:tcW w:w="1680" w:type="dxa"/>
            <w:noWrap w:val="0"/>
            <w:vAlign w:val="center"/>
          </w:tcPr>
          <w:p w14:paraId="669C630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服务类别</w:t>
            </w:r>
          </w:p>
        </w:tc>
        <w:tc>
          <w:tcPr>
            <w:tcW w:w="5094" w:type="dxa"/>
            <w:noWrap w:val="0"/>
            <w:vAlign w:val="center"/>
          </w:tcPr>
          <w:p w14:paraId="26484723">
            <w:pPr>
              <w:keepNext w:val="0"/>
              <w:keepLines w:val="0"/>
              <w:pageBreakBefore w:val="0"/>
              <w:widowControl w:val="0"/>
              <w:kinsoku/>
              <w:wordWrap/>
              <w:overflowPunct/>
              <w:topLinePunct w:val="0"/>
              <w:autoSpaceDE/>
              <w:autoSpaceDN/>
              <w:bidi w:val="0"/>
              <w:adjustRightInd/>
              <w:snapToGrid/>
              <w:spacing w:line="300" w:lineRule="exact"/>
              <w:ind w:firstLine="562" w:firstLineChars="200"/>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交付成果</w:t>
            </w:r>
          </w:p>
        </w:tc>
        <w:tc>
          <w:tcPr>
            <w:tcW w:w="791" w:type="dxa"/>
            <w:noWrap w:val="0"/>
            <w:vAlign w:val="center"/>
          </w:tcPr>
          <w:p w14:paraId="5D42D80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数量</w:t>
            </w:r>
          </w:p>
        </w:tc>
        <w:tc>
          <w:tcPr>
            <w:tcW w:w="1193" w:type="dxa"/>
            <w:noWrap w:val="0"/>
            <w:vAlign w:val="center"/>
          </w:tcPr>
          <w:p w14:paraId="6CB8E08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备注</w:t>
            </w:r>
          </w:p>
        </w:tc>
      </w:tr>
      <w:tr w14:paraId="068E5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92" w:hRule="exact"/>
          <w:jc w:val="center"/>
        </w:trPr>
        <w:tc>
          <w:tcPr>
            <w:tcW w:w="699" w:type="dxa"/>
            <w:noWrap w:val="0"/>
            <w:vAlign w:val="center"/>
          </w:tcPr>
          <w:p w14:paraId="2378081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bookmarkStart w:id="8" w:name="_Toc4755"/>
            <w:r>
              <w:rPr>
                <w:rFonts w:hint="eastAsia" w:ascii="仿宋_GB2312" w:hAnsi="仿宋_GB2312" w:eastAsia="仿宋_GB2312" w:cs="仿宋_GB2312"/>
                <w:bCs/>
                <w:kern w:val="2"/>
                <w:sz w:val="24"/>
                <w:szCs w:val="24"/>
                <w:highlight w:val="none"/>
                <w:lang w:val="en-US" w:eastAsia="zh-CN" w:bidi="ar-SA"/>
              </w:rPr>
              <w:t>1</w:t>
            </w:r>
          </w:p>
        </w:tc>
        <w:tc>
          <w:tcPr>
            <w:tcW w:w="1680" w:type="dxa"/>
            <w:vMerge w:val="restart"/>
            <w:noWrap w:val="0"/>
            <w:vAlign w:val="center"/>
          </w:tcPr>
          <w:p w14:paraId="39073E1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新建类项目资金概算评审服务</w:t>
            </w:r>
          </w:p>
        </w:tc>
        <w:tc>
          <w:tcPr>
            <w:tcW w:w="5094" w:type="dxa"/>
            <w:noWrap w:val="0"/>
            <w:vAlign w:val="center"/>
          </w:tcPr>
          <w:p w14:paraId="2D48661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sz w:val="24"/>
                <w:szCs w:val="24"/>
                <w:highlight w:val="none"/>
              </w:rPr>
              <w:t>市级信息化项目投资概算审核工作方案</w:t>
            </w:r>
          </w:p>
        </w:tc>
        <w:tc>
          <w:tcPr>
            <w:tcW w:w="791" w:type="dxa"/>
            <w:noWrap w:val="0"/>
            <w:vAlign w:val="center"/>
          </w:tcPr>
          <w:p w14:paraId="3CC2A3F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1项</w:t>
            </w:r>
          </w:p>
        </w:tc>
        <w:tc>
          <w:tcPr>
            <w:tcW w:w="1193" w:type="dxa"/>
            <w:vMerge w:val="restart"/>
            <w:noWrap w:val="0"/>
            <w:vAlign w:val="center"/>
          </w:tcPr>
          <w:p w14:paraId="34862ED0">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bCs/>
                <w:kern w:val="2"/>
                <w:sz w:val="24"/>
                <w:szCs w:val="24"/>
                <w:lang w:val="en-US" w:eastAsia="zh-CN" w:bidi="ar-SA"/>
              </w:rPr>
              <w:t>交付物的名称和数量可能随着项目需求变化而调整，具体以甲方最终确定的工作内容和交付物为准。</w:t>
            </w:r>
          </w:p>
        </w:tc>
      </w:tr>
      <w:tr w14:paraId="63768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303" w:hRule="exact"/>
          <w:jc w:val="center"/>
        </w:trPr>
        <w:tc>
          <w:tcPr>
            <w:tcW w:w="699" w:type="dxa"/>
            <w:noWrap w:val="0"/>
            <w:vAlign w:val="center"/>
          </w:tcPr>
          <w:p w14:paraId="131CD94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2</w:t>
            </w:r>
          </w:p>
        </w:tc>
        <w:tc>
          <w:tcPr>
            <w:tcW w:w="1680" w:type="dxa"/>
            <w:vMerge w:val="continue"/>
            <w:noWrap w:val="0"/>
            <w:vAlign w:val="center"/>
          </w:tcPr>
          <w:p w14:paraId="66111F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p>
        </w:tc>
        <w:tc>
          <w:tcPr>
            <w:tcW w:w="5094" w:type="dxa"/>
            <w:noWrap w:val="0"/>
            <w:vAlign w:val="center"/>
          </w:tcPr>
          <w:p w14:paraId="243D856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sz w:val="24"/>
                <w:szCs w:val="24"/>
                <w:highlight w:val="none"/>
              </w:rPr>
              <w:t>市级信息化项目投资预算第三方评审报告</w:t>
            </w:r>
            <w:r>
              <w:rPr>
                <w:rFonts w:hint="eastAsia" w:ascii="仿宋_GB2312" w:hAnsi="仿宋_GB2312" w:eastAsia="仿宋_GB2312" w:cs="仿宋_GB2312"/>
                <w:sz w:val="24"/>
                <w:szCs w:val="24"/>
                <w:highlight w:val="none"/>
                <w:lang w:eastAsia="zh-CN"/>
              </w:rPr>
              <w:t>汇编</w:t>
            </w:r>
          </w:p>
        </w:tc>
        <w:tc>
          <w:tcPr>
            <w:tcW w:w="791" w:type="dxa"/>
            <w:noWrap w:val="0"/>
            <w:vAlign w:val="center"/>
          </w:tcPr>
          <w:p w14:paraId="08D778C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1项</w:t>
            </w:r>
          </w:p>
        </w:tc>
        <w:tc>
          <w:tcPr>
            <w:tcW w:w="1193" w:type="dxa"/>
            <w:vMerge w:val="continue"/>
            <w:noWrap w:val="0"/>
            <w:vAlign w:val="center"/>
          </w:tcPr>
          <w:p w14:paraId="4313DD60">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center"/>
              <w:textAlignment w:val="auto"/>
              <w:rPr>
                <w:rFonts w:hint="eastAsia" w:ascii="仿宋_GB2312" w:hAnsi="仿宋_GB2312" w:eastAsia="仿宋_GB2312" w:cs="仿宋_GB2312"/>
                <w:bCs/>
                <w:kern w:val="2"/>
                <w:sz w:val="28"/>
                <w:szCs w:val="28"/>
                <w:lang w:val="en-US" w:eastAsia="zh-CN" w:bidi="ar-SA"/>
              </w:rPr>
            </w:pPr>
          </w:p>
        </w:tc>
      </w:tr>
      <w:tr w14:paraId="658C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109" w:hRule="exact"/>
          <w:jc w:val="center"/>
        </w:trPr>
        <w:tc>
          <w:tcPr>
            <w:tcW w:w="699" w:type="dxa"/>
            <w:shd w:val="clear" w:color="auto" w:fill="auto"/>
            <w:noWrap w:val="0"/>
            <w:vAlign w:val="center"/>
          </w:tcPr>
          <w:p w14:paraId="36D624B2">
            <w:pPr>
              <w:widowControl/>
              <w:jc w:val="center"/>
              <w:rPr>
                <w:rFonts w:hint="default" w:ascii="仿宋" w:hAnsi="仿宋" w:eastAsia="仿宋" w:cs="宋体"/>
                <w:kern w:val="0"/>
                <w:sz w:val="22"/>
                <w:szCs w:val="21"/>
                <w:lang w:val="en-US" w:eastAsia="zh-CN" w:bidi="ar-SA"/>
              </w:rPr>
            </w:pPr>
            <w:r>
              <w:rPr>
                <w:rFonts w:hint="eastAsia" w:ascii="仿宋" w:hAnsi="仿宋" w:eastAsia="仿宋" w:cs="宋体"/>
                <w:kern w:val="0"/>
                <w:sz w:val="22"/>
                <w:szCs w:val="21"/>
                <w:lang w:val="en-US" w:eastAsia="zh-CN" w:bidi="ar-SA"/>
              </w:rPr>
              <w:t>3</w:t>
            </w:r>
          </w:p>
        </w:tc>
        <w:tc>
          <w:tcPr>
            <w:tcW w:w="1680" w:type="dxa"/>
            <w:shd w:val="clear" w:color="auto" w:fill="auto"/>
            <w:noWrap w:val="0"/>
            <w:vAlign w:val="center"/>
          </w:tcPr>
          <w:p w14:paraId="2173489A">
            <w:pPr>
              <w:widowControl/>
              <w:jc w:val="center"/>
              <w:rPr>
                <w:rFonts w:hint="eastAsia" w:ascii="仿宋" w:hAnsi="仿宋" w:eastAsia="仿宋" w:cs="宋体"/>
                <w:kern w:val="0"/>
                <w:sz w:val="22"/>
                <w:szCs w:val="21"/>
                <w:lang w:val="en-US" w:eastAsia="zh-CN" w:bidi="ar-SA"/>
              </w:rPr>
            </w:pPr>
            <w:r>
              <w:rPr>
                <w:rFonts w:hint="eastAsia" w:ascii="仿宋_GB2312" w:hAnsi="仿宋_GB2312" w:eastAsia="仿宋_GB2312" w:cs="仿宋_GB2312"/>
                <w:bCs/>
                <w:kern w:val="2"/>
                <w:sz w:val="24"/>
                <w:szCs w:val="24"/>
                <w:lang w:val="en-US" w:eastAsia="zh-CN" w:bidi="ar-SA"/>
              </w:rPr>
              <w:t>工作日志</w:t>
            </w:r>
          </w:p>
        </w:tc>
        <w:tc>
          <w:tcPr>
            <w:tcW w:w="5094" w:type="dxa"/>
            <w:shd w:val="clear" w:color="auto" w:fill="auto"/>
            <w:noWrap w:val="0"/>
            <w:vAlign w:val="center"/>
          </w:tcPr>
          <w:p w14:paraId="6396DB86">
            <w:pPr>
              <w:widowControl/>
              <w:jc w:val="left"/>
              <w:rPr>
                <w:rFonts w:hint="eastAsia" w:ascii="仿宋" w:hAnsi="仿宋" w:eastAsia="仿宋" w:cs="宋体"/>
                <w:kern w:val="0"/>
                <w:sz w:val="22"/>
                <w:szCs w:val="21"/>
                <w:lang w:val="en-US" w:eastAsia="zh-CN" w:bidi="ar-SA"/>
              </w:rPr>
            </w:pPr>
            <w:r>
              <w:rPr>
                <w:rFonts w:hint="eastAsia" w:ascii="仿宋_GB2312" w:hAnsi="仿宋_GB2312" w:eastAsia="仿宋_GB2312" w:cs="仿宋_GB2312"/>
                <w:sz w:val="24"/>
                <w:szCs w:val="24"/>
              </w:rPr>
              <w:t>工作月报</w:t>
            </w:r>
          </w:p>
        </w:tc>
        <w:tc>
          <w:tcPr>
            <w:tcW w:w="791" w:type="dxa"/>
            <w:shd w:val="clear" w:color="auto" w:fill="auto"/>
            <w:noWrap w:val="0"/>
            <w:vAlign w:val="center"/>
          </w:tcPr>
          <w:p w14:paraId="4D196843">
            <w:pPr>
              <w:widowControl/>
              <w:jc w:val="center"/>
              <w:rPr>
                <w:rFonts w:hint="eastAsia" w:ascii="仿宋" w:hAnsi="仿宋" w:eastAsia="仿宋" w:cs="宋体"/>
                <w:kern w:val="0"/>
                <w:sz w:val="22"/>
                <w:szCs w:val="21"/>
                <w:lang w:val="en-US" w:eastAsia="zh-CN" w:bidi="ar-SA"/>
              </w:rPr>
            </w:pPr>
            <w:r>
              <w:rPr>
                <w:rFonts w:ascii="仿宋" w:hAnsi="仿宋" w:eastAsia="仿宋" w:cs="宋体"/>
                <w:kern w:val="0"/>
                <w:sz w:val="22"/>
                <w:szCs w:val="22"/>
              </w:rPr>
              <w:t>1</w:t>
            </w:r>
            <w:r>
              <w:rPr>
                <w:rFonts w:hint="eastAsia" w:ascii="仿宋_GB2312" w:hAnsi="仿宋_GB2312" w:eastAsia="仿宋_GB2312" w:cs="仿宋_GB2312"/>
                <w:bCs/>
                <w:kern w:val="2"/>
                <w:sz w:val="24"/>
                <w:szCs w:val="24"/>
                <w:lang w:val="en-US" w:eastAsia="zh-CN" w:bidi="ar-SA"/>
              </w:rPr>
              <w:t>项</w:t>
            </w:r>
          </w:p>
        </w:tc>
        <w:tc>
          <w:tcPr>
            <w:tcW w:w="1193" w:type="dxa"/>
            <w:vMerge w:val="continue"/>
            <w:noWrap w:val="0"/>
            <w:vAlign w:val="center"/>
          </w:tcPr>
          <w:p w14:paraId="295297D2">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center"/>
              <w:textAlignment w:val="auto"/>
              <w:rPr>
                <w:rFonts w:hint="eastAsia" w:ascii="仿宋_GB2312" w:hAnsi="仿宋_GB2312" w:eastAsia="仿宋_GB2312" w:cs="仿宋_GB2312"/>
                <w:bCs/>
                <w:kern w:val="2"/>
                <w:sz w:val="28"/>
                <w:szCs w:val="28"/>
                <w:lang w:val="en-US" w:eastAsia="zh-CN" w:bidi="ar-SA"/>
              </w:rPr>
            </w:pPr>
          </w:p>
        </w:tc>
      </w:tr>
      <w:bookmarkEnd w:id="8"/>
    </w:tbl>
    <w:p w14:paraId="6AF19933">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p>
    <w:p w14:paraId="6DFFF7B3">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九、保密责任</w:t>
      </w:r>
    </w:p>
    <w:p w14:paraId="2ED3D72C">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1.乙方应遵守国家有关保密的法律法规和行业规定，并对甲方提供的资料负有保密义务。未经甲方同意，不得将承接政府服务项目获得的政府、公民个人等各种信息和资料提供给其他单位和个人。</w:t>
      </w:r>
    </w:p>
    <w:p w14:paraId="1DA9EA5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2.乙方有义务保护甲方的知识产权，未经甲方同意，不得将甲方所有的具有知识产权性质的成果文件、资料向第三方转让或用于本合同以外的项目。</w:t>
      </w:r>
    </w:p>
    <w:p w14:paraId="5D3D1D97">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3.保密期限为长期。若乙方泄密应向甲方支付合同价款</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%的违约金并赔偿甲方的所有损失。</w:t>
      </w:r>
    </w:p>
    <w:p w14:paraId="5F2AE70A">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4．本条款为独立条款，本合同的无效、变更、解除和终止均不影响本条款的效力。</w:t>
      </w:r>
    </w:p>
    <w:p w14:paraId="4FB694F9">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十、违约责任</w:t>
      </w:r>
    </w:p>
    <w:p w14:paraId="4405C8AD">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1.按《</w:t>
      </w:r>
      <w:r>
        <w:rPr>
          <w:rFonts w:hint="eastAsia" w:ascii="仿宋" w:hAnsi="仿宋" w:eastAsia="仿宋" w:cs="仿宋"/>
          <w:sz w:val="28"/>
          <w:szCs w:val="28"/>
        </w:rPr>
        <w:t>中华人民共和国</w:t>
      </w:r>
      <w:r>
        <w:rPr>
          <w:rFonts w:hint="eastAsia" w:ascii="仿宋" w:hAnsi="仿宋" w:eastAsia="仿宋" w:cs="宋体"/>
          <w:sz w:val="28"/>
          <w:szCs w:val="28"/>
        </w:rPr>
        <w:t>民法典》中的相关条款执行。</w:t>
      </w:r>
    </w:p>
    <w:p w14:paraId="14EBC6C2">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w:t>
      </w:r>
      <w:r>
        <w:rPr>
          <w:rFonts w:hint="eastAsia" w:ascii="仿宋" w:hAnsi="仿宋" w:eastAsia="仿宋" w:cs="仿宋"/>
          <w:sz w:val="28"/>
          <w:szCs w:val="28"/>
        </w:rPr>
        <w:t>中华人民共和国</w:t>
      </w:r>
      <w:r>
        <w:rPr>
          <w:rFonts w:hint="eastAsia" w:ascii="仿宋" w:hAnsi="仿宋" w:eastAsia="仿宋" w:cs="宋体"/>
          <w:sz w:val="28"/>
          <w:szCs w:val="28"/>
        </w:rPr>
        <w:t>政府采购法》及相关法律法规对乙方的违法行为进行相应的处罚。</w:t>
      </w:r>
    </w:p>
    <w:p w14:paraId="6532357B">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3.在本合同履行过程中，双方因违约或造成对方经济、社会效益等损失的应当赔偿，包括但不限于律师费、差旅费、诉讼费、调查费、公证费、鉴定费、专家证人出庭费、诉讼保全保险费等。</w:t>
      </w:r>
    </w:p>
    <w:p w14:paraId="7C128DAE">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4.乙方提供的服务不符合本项目相关文件和本合同规定的，甲方有权拒绝，并且乙方须向甲方支付本合同总价款</w:t>
      </w:r>
      <w:r>
        <w:rPr>
          <w:rFonts w:hint="eastAsia" w:ascii="仿宋" w:hAnsi="仿宋" w:eastAsia="仿宋" w:cs="宋体"/>
          <w:sz w:val="28"/>
          <w:szCs w:val="28"/>
          <w:u w:val="single"/>
        </w:rPr>
        <w:t xml:space="preserve"> </w:t>
      </w:r>
      <w:r>
        <w:rPr>
          <w:rFonts w:hint="eastAsia" w:ascii="仿宋" w:hAnsi="仿宋" w:eastAsia="仿宋" w:cs="宋体"/>
          <w:sz w:val="28"/>
          <w:szCs w:val="28"/>
          <w:highlight w:val="none"/>
          <w:u w:val="single"/>
          <w:lang w:eastAsia="zh-CN"/>
        </w:rPr>
        <w:t xml:space="preserve"> </w:t>
      </w:r>
      <w:r>
        <w:rPr>
          <w:rFonts w:hint="eastAsia" w:ascii="仿宋" w:hAnsi="仿宋" w:eastAsia="仿宋" w:cs="宋体"/>
          <w:sz w:val="28"/>
          <w:szCs w:val="28"/>
          <w:highlight w:val="none"/>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%的违约金。</w:t>
      </w:r>
    </w:p>
    <w:p w14:paraId="1783B2FB">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5.乙方未能按照本合同约定时间提供服务或完成约定的项目服务内容的，从逾期之日起每日按本合同总价款</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%的数额向甲方支付违约金；逾期</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日以上的，甲方有权终止合同，由此造成的甲方经济损失由乙方承担。</w:t>
      </w:r>
    </w:p>
    <w:p w14:paraId="3F5544FA">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宋体" w:hAnsi="宋体" w:eastAsia="宋体" w:cs="宋体"/>
          <w:sz w:val="24"/>
        </w:rPr>
      </w:pPr>
      <w:r>
        <w:rPr>
          <w:rFonts w:hint="eastAsia" w:ascii="仿宋" w:hAnsi="仿宋" w:eastAsia="仿宋" w:cs="宋体"/>
          <w:sz w:val="28"/>
          <w:szCs w:val="28"/>
        </w:rPr>
        <w:t>6.未经甲方同意，乙方不得擅自将本合同服务转包或分包第三方承担。</w:t>
      </w:r>
    </w:p>
    <w:p w14:paraId="4F0265FA">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 xml:space="preserve">十一、协议解除或终止 </w:t>
      </w:r>
    </w:p>
    <w:p w14:paraId="03658F8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（一）除本合同另有规定外，在发生以下情况时，甲方有权在向乙方发出终止通知后终止本合同： </w:t>
      </w:r>
    </w:p>
    <w:p w14:paraId="30A2EB8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1.乙方未履行合同规定的义务并且在接到甲方通知后</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bCs/>
          <w:sz w:val="28"/>
          <w:szCs w:val="28"/>
        </w:rPr>
        <w:t xml:space="preserve">天内或乙方在甲方同意延长的时间内仍未履行的。 </w:t>
      </w:r>
    </w:p>
    <w:p w14:paraId="3876A63D">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2.因乙方的过错导致甲方的</w:t>
      </w:r>
      <w:r>
        <w:rPr>
          <w:rFonts w:hint="eastAsia" w:ascii="仿宋" w:hAnsi="仿宋" w:eastAsia="仿宋" w:cs="宋体"/>
          <w:bCs/>
          <w:sz w:val="28"/>
          <w:szCs w:val="28"/>
          <w:lang w:eastAsia="zh-CN"/>
        </w:rPr>
        <w:t>履约</w:t>
      </w:r>
      <w:r>
        <w:rPr>
          <w:rFonts w:hint="eastAsia" w:ascii="仿宋" w:hAnsi="仿宋" w:eastAsia="仿宋" w:cs="宋体"/>
          <w:bCs/>
          <w:sz w:val="28"/>
          <w:szCs w:val="28"/>
        </w:rPr>
        <w:t>验收延迟超过</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 xml:space="preserve">周。 </w:t>
      </w:r>
    </w:p>
    <w:p w14:paraId="2028B6D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（二）发生以下情况时，任何一方有权在向另一方发出终止通知后终止本合同： </w:t>
      </w:r>
    </w:p>
    <w:p w14:paraId="7A337194">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1.一方破产或无清偿能力； </w:t>
      </w:r>
    </w:p>
    <w:p w14:paraId="0C2297F4">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2.不可抗力事件阻碍任何一方履行其合同义务持续超过</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 xml:space="preserve">天； </w:t>
      </w:r>
    </w:p>
    <w:p w14:paraId="28E27F45">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3.因本条而终止时，乙方仅有权就其在终止之前已履行的服务获得付款。 </w:t>
      </w:r>
    </w:p>
    <w:p w14:paraId="13EACA0B">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十二、解决争议方式</w:t>
      </w:r>
    </w:p>
    <w:p w14:paraId="3CB445B2">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本合同在履行过程中发生的争议，由甲、乙双方当事人协商解决，协商不成的依法向甲方所在地人民法院起诉。</w:t>
      </w:r>
    </w:p>
    <w:p w14:paraId="00850416">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十三、合同生效及其他</w:t>
      </w:r>
    </w:p>
    <w:p w14:paraId="102FAC29">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1.本合同须经甲、乙双方签字盖章后正式生效。</w:t>
      </w:r>
    </w:p>
    <w:p w14:paraId="10FB271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2.合同生效后，甲、乙双方须严格执行本合同条款的规定，全面履行合同，违者按《中华人民共和国民法典》的有关规定承担相应责任。</w:t>
      </w:r>
    </w:p>
    <w:p w14:paraId="2C190CC6">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3.本合同一式</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份，甲方持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份，乙方持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份，鉴证方持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份，西安市财政局政府采购管理处备案</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w:t>
      </w:r>
    </w:p>
    <w:p w14:paraId="02FD380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4.本合同如有未尽事宜，甲、乙双方协商解决。</w:t>
      </w:r>
    </w:p>
    <w:p w14:paraId="2AE8920E">
      <w:pPr>
        <w:widowControl/>
        <w:autoSpaceDE w:val="0"/>
        <w:autoSpaceDN w:val="0"/>
        <w:adjustRightInd w:val="0"/>
        <w:snapToGrid w:val="0"/>
        <w:spacing w:line="360" w:lineRule="auto"/>
        <w:ind w:firstLine="480" w:firstLineChars="200"/>
        <w:textAlignment w:val="baseline"/>
        <w:rPr>
          <w:rFonts w:ascii="宋体" w:hAnsi="宋体" w:eastAsia="宋体" w:cs="宋体"/>
          <w:sz w:val="24"/>
        </w:rPr>
        <w:sectPr>
          <w:headerReference r:id="rId3" w:type="default"/>
          <w:footerReference r:id="rId4" w:type="default"/>
          <w:pgSz w:w="11906" w:h="16838"/>
          <w:pgMar w:top="2098" w:right="1474" w:bottom="1984" w:left="1587" w:header="851" w:footer="992" w:gutter="0"/>
          <w:cols w:space="425" w:num="1"/>
          <w:docGrid w:type="lines" w:linePitch="312" w:charSpace="0"/>
        </w:sectPr>
      </w:pPr>
    </w:p>
    <w:p w14:paraId="6898EFA7">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（以下无正文）</w:t>
      </w:r>
    </w:p>
    <w:p w14:paraId="3F268BE6">
      <w:pPr>
        <w:adjustRightInd w:val="0"/>
        <w:snapToGrid w:val="0"/>
        <w:spacing w:line="360" w:lineRule="auto"/>
        <w:ind w:firstLine="210"/>
        <w:textAlignment w:val="baseline"/>
        <w:rPr>
          <w:rFonts w:ascii="仿宋" w:hAnsi="仿宋" w:eastAsia="仿宋" w:cs="宋体"/>
          <w:sz w:val="28"/>
          <w:szCs w:val="28"/>
        </w:rPr>
      </w:pPr>
      <w:r>
        <w:rPr>
          <w:rFonts w:hint="eastAsia" w:ascii="仿宋" w:hAnsi="仿宋" w:eastAsia="仿宋" w:cs="宋体"/>
          <w:sz w:val="28"/>
          <w:szCs w:val="28"/>
        </w:rPr>
        <w:t>（本页无正文，为合同签署页）</w:t>
      </w:r>
    </w:p>
    <w:tbl>
      <w:tblPr>
        <w:tblStyle w:val="6"/>
        <w:tblW w:w="47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3"/>
        <w:gridCol w:w="3870"/>
      </w:tblGrid>
      <w:tr w14:paraId="4C941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32" w:type="pct"/>
            <w:noWrap/>
            <w:vAlign w:val="center"/>
          </w:tcPr>
          <w:p w14:paraId="09B081F8">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甲方</w:t>
            </w:r>
          </w:p>
        </w:tc>
        <w:tc>
          <w:tcPr>
            <w:tcW w:w="2367" w:type="pct"/>
            <w:noWrap/>
            <w:vAlign w:val="center"/>
          </w:tcPr>
          <w:p w14:paraId="669AB449">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z w:val="24"/>
              </w:rPr>
              <w:t>乙方</w:t>
            </w:r>
          </w:p>
        </w:tc>
      </w:tr>
      <w:tr w14:paraId="6A03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2632" w:type="pct"/>
            <w:noWrap/>
            <w:vAlign w:val="center"/>
          </w:tcPr>
          <w:p w14:paraId="6D2D6C44">
            <w:pPr>
              <w:autoSpaceDE w:val="0"/>
              <w:autoSpaceDN w:val="0"/>
              <w:adjustRightInd w:val="0"/>
              <w:jc w:val="center"/>
              <w:textAlignment w:val="baseline"/>
              <w:rPr>
                <w:rFonts w:hint="eastAsia" w:ascii="仿宋" w:hAnsi="仿宋" w:eastAsia="仿宋" w:cs="仿宋"/>
                <w:b/>
                <w:bCs/>
                <w:spacing w:val="-20"/>
                <w:kern w:val="0"/>
                <w:sz w:val="24"/>
                <w:lang w:val="en-US" w:eastAsia="zh-CN"/>
              </w:rPr>
            </w:pPr>
            <w:r>
              <w:rPr>
                <w:rFonts w:hint="eastAsia" w:ascii="仿宋" w:hAnsi="仿宋" w:eastAsia="仿宋" w:cs="仿宋"/>
                <w:spacing w:val="-20"/>
                <w:kern w:val="0"/>
                <w:sz w:val="24"/>
                <w:lang w:val="en-US" w:eastAsia="zh-CN"/>
              </w:rPr>
              <w:t>西安市数据局</w:t>
            </w:r>
          </w:p>
          <w:p w14:paraId="5D74934B">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（盖章）</w:t>
            </w:r>
          </w:p>
        </w:tc>
        <w:tc>
          <w:tcPr>
            <w:tcW w:w="2367" w:type="pct"/>
            <w:noWrap/>
            <w:vAlign w:val="center"/>
          </w:tcPr>
          <w:p w14:paraId="110942FF">
            <w:pPr>
              <w:autoSpaceDE w:val="0"/>
              <w:autoSpaceDN w:val="0"/>
              <w:adjustRightInd w:val="0"/>
              <w:jc w:val="center"/>
              <w:textAlignment w:val="baseline"/>
              <w:rPr>
                <w:rFonts w:hint="eastAsia" w:ascii="仿宋" w:hAnsi="仿宋" w:eastAsia="仿宋" w:cs="仿宋"/>
                <w:b/>
                <w:bCs/>
                <w:spacing w:val="-20"/>
                <w:kern w:val="0"/>
                <w:sz w:val="24"/>
              </w:rPr>
            </w:pPr>
            <w:r>
              <w:rPr>
                <w:rFonts w:hint="eastAsia" w:ascii="仿宋" w:hAnsi="仿宋" w:eastAsia="仿宋" w:cs="仿宋"/>
                <w:b/>
                <w:bCs/>
                <w:spacing w:val="-20"/>
                <w:kern w:val="0"/>
                <w:sz w:val="24"/>
              </w:rPr>
              <w:t>***</w:t>
            </w:r>
          </w:p>
          <w:p w14:paraId="098E0137">
            <w:pPr>
              <w:autoSpaceDE w:val="0"/>
              <w:autoSpaceDN w:val="0"/>
              <w:adjustRightInd w:val="0"/>
              <w:jc w:val="center"/>
              <w:textAlignment w:val="baseline"/>
              <w:rPr>
                <w:rFonts w:hint="eastAsia" w:ascii="仿宋" w:hAnsi="仿宋" w:eastAsia="仿宋" w:cs="仿宋"/>
                <w:b/>
                <w:bCs/>
                <w:spacing w:val="-20"/>
                <w:kern w:val="0"/>
                <w:sz w:val="24"/>
              </w:rPr>
            </w:pPr>
          </w:p>
          <w:p w14:paraId="18ACE8BD">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pacing w:val="-20"/>
                <w:kern w:val="0"/>
                <w:sz w:val="24"/>
              </w:rPr>
              <w:t>（盖章）</w:t>
            </w:r>
          </w:p>
        </w:tc>
      </w:tr>
      <w:tr w14:paraId="57F8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632" w:type="pct"/>
            <w:noWrap/>
            <w:vAlign w:val="center"/>
          </w:tcPr>
          <w:p w14:paraId="77B234ED">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lang w:val="en-US" w:eastAsia="zh-CN"/>
              </w:rPr>
              <w:t>法定</w:t>
            </w:r>
            <w:r>
              <w:rPr>
                <w:rFonts w:hint="eastAsia" w:ascii="仿宋" w:hAnsi="仿宋" w:eastAsia="仿宋" w:cs="仿宋"/>
                <w:spacing w:val="-20"/>
                <w:kern w:val="0"/>
                <w:sz w:val="24"/>
              </w:rPr>
              <w:t>代表人</w:t>
            </w:r>
            <w:r>
              <w:rPr>
                <w:rFonts w:hint="eastAsia" w:ascii="仿宋" w:hAnsi="仿宋" w:eastAsia="仿宋" w:cs="仿宋"/>
                <w:sz w:val="24"/>
              </w:rPr>
              <w:t>（签字）</w:t>
            </w:r>
            <w:r>
              <w:rPr>
                <w:rFonts w:hint="eastAsia" w:ascii="仿宋" w:hAnsi="仿宋" w:eastAsia="仿宋" w:cs="仿宋"/>
                <w:spacing w:val="-20"/>
                <w:kern w:val="0"/>
                <w:sz w:val="24"/>
              </w:rPr>
              <w:t>：</w:t>
            </w:r>
          </w:p>
          <w:p w14:paraId="3860C1CE">
            <w:pPr>
              <w:autoSpaceDE w:val="0"/>
              <w:autoSpaceDN w:val="0"/>
              <w:adjustRightInd w:val="0"/>
              <w:textAlignment w:val="baseline"/>
              <w:rPr>
                <w:rFonts w:hint="eastAsia" w:ascii="仿宋" w:hAnsi="仿宋" w:eastAsia="仿宋" w:cs="仿宋"/>
                <w:spacing w:val="-20"/>
                <w:kern w:val="0"/>
                <w:sz w:val="24"/>
              </w:rPr>
            </w:pPr>
          </w:p>
        </w:tc>
        <w:tc>
          <w:tcPr>
            <w:tcW w:w="2367" w:type="pct"/>
            <w:noWrap/>
            <w:vAlign w:val="center"/>
          </w:tcPr>
          <w:p w14:paraId="41485FA3">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法定代表人（签字）：</w:t>
            </w:r>
          </w:p>
          <w:p w14:paraId="30D4CA53">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p>
        </w:tc>
      </w:tr>
      <w:tr w14:paraId="37C9D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32" w:type="pct"/>
            <w:noWrap/>
            <w:vAlign w:val="center"/>
          </w:tcPr>
          <w:p w14:paraId="254C3A47">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地址：西安市凤城八路109号</w:t>
            </w:r>
          </w:p>
        </w:tc>
        <w:tc>
          <w:tcPr>
            <w:tcW w:w="2367" w:type="pct"/>
            <w:noWrap/>
            <w:vAlign w:val="center"/>
          </w:tcPr>
          <w:p w14:paraId="70D0FA49">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w:t>
            </w:r>
          </w:p>
        </w:tc>
      </w:tr>
      <w:tr w14:paraId="095DF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632" w:type="pct"/>
            <w:noWrap/>
            <w:vAlign w:val="center"/>
          </w:tcPr>
          <w:p w14:paraId="25E22BE3">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邮编：710000</w:t>
            </w:r>
          </w:p>
        </w:tc>
        <w:tc>
          <w:tcPr>
            <w:tcW w:w="2367" w:type="pct"/>
            <w:noWrap/>
            <w:vAlign w:val="center"/>
          </w:tcPr>
          <w:p w14:paraId="28AF6D01">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w:t>
            </w:r>
          </w:p>
        </w:tc>
      </w:tr>
      <w:tr w14:paraId="3595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2632" w:type="pct"/>
            <w:noWrap/>
          </w:tcPr>
          <w:p w14:paraId="6176B0EF">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开票信息：</w:t>
            </w:r>
          </w:p>
          <w:p w14:paraId="4182402B">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组织机构代码证编号：</w:t>
            </w:r>
          </w:p>
          <w:p w14:paraId="631DB44D">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地址：</w:t>
            </w:r>
          </w:p>
          <w:p w14:paraId="6FE0E8B8">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电话：</w:t>
            </w:r>
          </w:p>
          <w:p w14:paraId="1A641A55">
            <w:pPr>
              <w:widowControl/>
              <w:autoSpaceDE w:val="0"/>
              <w:autoSpaceDN w:val="0"/>
              <w:adjustRightInd w:val="0"/>
              <w:snapToGrid w:val="0"/>
              <w:spacing w:line="600" w:lineRule="exact"/>
              <w:textAlignment w:val="baseline"/>
              <w:rPr>
                <w:rFonts w:hint="eastAsia" w:ascii="仿宋" w:hAnsi="仿宋" w:eastAsia="仿宋" w:cs="仿宋"/>
                <w:kern w:val="0"/>
                <w:sz w:val="24"/>
              </w:rPr>
            </w:pPr>
            <w:r>
              <w:rPr>
                <w:rFonts w:hint="eastAsia" w:ascii="仿宋" w:hAnsi="仿宋" w:eastAsia="仿宋" w:cs="仿宋"/>
                <w:sz w:val="24"/>
              </w:rPr>
              <w:t>发票类型：普票</w:t>
            </w:r>
          </w:p>
        </w:tc>
        <w:tc>
          <w:tcPr>
            <w:tcW w:w="2367" w:type="pct"/>
            <w:noWrap/>
          </w:tcPr>
          <w:p w14:paraId="57E3B153">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收款信息：</w:t>
            </w:r>
          </w:p>
          <w:p w14:paraId="0FDCDAE3">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收款人名称：</w:t>
            </w:r>
          </w:p>
          <w:p w14:paraId="2C2E5D84">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组织机构代码证编号：</w:t>
            </w:r>
          </w:p>
          <w:p w14:paraId="7A6DC0D6">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收款银行：</w:t>
            </w:r>
          </w:p>
          <w:p w14:paraId="309DA702">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账  号：</w:t>
            </w:r>
          </w:p>
          <w:p w14:paraId="080CFFF8">
            <w:pPr>
              <w:widowControl/>
              <w:autoSpaceDE w:val="0"/>
              <w:autoSpaceDN w:val="0"/>
              <w:adjustRightInd w:val="0"/>
              <w:snapToGrid w:val="0"/>
              <w:spacing w:line="600" w:lineRule="exact"/>
              <w:textAlignment w:val="baseline"/>
              <w:rPr>
                <w:rFonts w:hint="eastAsia" w:ascii="仿宋" w:hAnsi="仿宋" w:eastAsia="仿宋" w:cs="仿宋"/>
                <w:kern w:val="0"/>
                <w:sz w:val="24"/>
              </w:rPr>
            </w:pPr>
            <w:r>
              <w:rPr>
                <w:rFonts w:hint="eastAsia" w:ascii="仿宋" w:hAnsi="仿宋" w:eastAsia="仿宋" w:cs="仿宋"/>
                <w:sz w:val="24"/>
              </w:rPr>
              <w:t>地址：</w:t>
            </w:r>
          </w:p>
        </w:tc>
      </w:tr>
      <w:tr w14:paraId="3F75B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632" w:type="pct"/>
            <w:noWrap/>
            <w:vAlign w:val="center"/>
          </w:tcPr>
          <w:p w14:paraId="6DDBF139">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w:t>
            </w:r>
            <w:r>
              <w:rPr>
                <w:rFonts w:hint="eastAsia" w:ascii="仿宋" w:hAnsi="仿宋" w:eastAsia="仿宋" w:cs="仿宋"/>
                <w:spacing w:val="-20"/>
                <w:kern w:val="0"/>
                <w:sz w:val="24"/>
                <w:lang w:val="en-US" w:eastAsia="zh-CN"/>
              </w:rPr>
              <w:t xml:space="preserve"> </w:t>
            </w:r>
            <w:r>
              <w:rPr>
                <w:rFonts w:hint="eastAsia" w:ascii="仿宋" w:hAnsi="仿宋" w:eastAsia="仿宋" w:cs="仿宋"/>
                <w:spacing w:val="-20"/>
                <w:kern w:val="0"/>
                <w:sz w:val="24"/>
              </w:rPr>
              <w:t>期：    年    月    日</w:t>
            </w:r>
          </w:p>
        </w:tc>
        <w:tc>
          <w:tcPr>
            <w:tcW w:w="2367" w:type="pct"/>
            <w:noWrap/>
            <w:vAlign w:val="center"/>
          </w:tcPr>
          <w:p w14:paraId="59381433">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w:t>
            </w:r>
            <w:r>
              <w:rPr>
                <w:rFonts w:hint="eastAsia" w:ascii="仿宋" w:hAnsi="仿宋" w:eastAsia="仿宋" w:cs="仿宋"/>
                <w:spacing w:val="-20"/>
                <w:kern w:val="0"/>
                <w:sz w:val="24"/>
                <w:lang w:val="en-US" w:eastAsia="zh-CN"/>
              </w:rPr>
              <w:t xml:space="preserve"> </w:t>
            </w:r>
            <w:r>
              <w:rPr>
                <w:rFonts w:hint="eastAsia" w:ascii="仿宋" w:hAnsi="仿宋" w:eastAsia="仿宋" w:cs="仿宋"/>
                <w:spacing w:val="-20"/>
                <w:kern w:val="0"/>
                <w:sz w:val="24"/>
              </w:rPr>
              <w:t>期：    年   月     日</w:t>
            </w:r>
          </w:p>
        </w:tc>
      </w:tr>
    </w:tbl>
    <w:p w14:paraId="1F112DBD">
      <w:pPr>
        <w:pStyle w:val="11"/>
        <w:rPr>
          <w:rFonts w:hint="eastAsia"/>
          <w:lang w:val="en-US" w:eastAsia="zh-Hans"/>
        </w:rPr>
        <w:sectPr>
          <w:pgSz w:w="11906" w:h="16838"/>
          <w:pgMar w:top="1440" w:right="1800" w:bottom="1440" w:left="1800" w:header="851" w:footer="992" w:gutter="0"/>
          <w:cols w:space="425" w:num="1"/>
          <w:docGrid w:type="lines" w:linePitch="312" w:charSpace="0"/>
        </w:sectPr>
      </w:pPr>
    </w:p>
    <w:p w14:paraId="176A4FCA">
      <w:pPr>
        <w:spacing w:line="576" w:lineRule="exact"/>
        <w:ind w:right="181" w:rightChars="86"/>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w:t>
      </w:r>
    </w:p>
    <w:p w14:paraId="6CA9D77A">
      <w:pPr>
        <w:spacing w:line="54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服务绩效考核表</w:t>
      </w:r>
    </w:p>
    <w:p w14:paraId="621984B0">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小标宋简体" w:hAnsi="方正小标宋简体" w:eastAsia="方正小标宋简体" w:cs="方正小标宋简体"/>
          <w:sz w:val="44"/>
          <w:szCs w:val="44"/>
          <w:lang w:val="en-US" w:eastAsia="zh-CN"/>
        </w:rPr>
      </w:pPr>
    </w:p>
    <w:tbl>
      <w:tblPr>
        <w:tblStyle w:val="7"/>
        <w:tblW w:w="933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8"/>
        <w:gridCol w:w="696"/>
        <w:gridCol w:w="1272"/>
        <w:gridCol w:w="3900"/>
        <w:gridCol w:w="756"/>
        <w:gridCol w:w="732"/>
        <w:gridCol w:w="732"/>
      </w:tblGrid>
      <w:tr w14:paraId="01464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248" w:type="dxa"/>
            <w:noWrap w:val="0"/>
            <w:vAlign w:val="center"/>
          </w:tcPr>
          <w:p w14:paraId="6E8434B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rPr>
            </w:pPr>
            <w:r>
              <w:rPr>
                <w:rFonts w:hint="eastAsia" w:ascii="黑体" w:hAnsi="黑体" w:eastAsia="黑体" w:cs="黑体"/>
                <w:i w:val="0"/>
                <w:iCs w:val="0"/>
                <w:caps w:val="0"/>
                <w:color w:val="0F1115"/>
                <w:spacing w:val="0"/>
                <w:sz w:val="24"/>
                <w:szCs w:val="24"/>
                <w:shd w:val="clear" w:color="auto" w:fill="FFFFFF"/>
              </w:rPr>
              <w:t>考核维度</w:t>
            </w:r>
          </w:p>
        </w:tc>
        <w:tc>
          <w:tcPr>
            <w:tcW w:w="696" w:type="dxa"/>
            <w:noWrap w:val="0"/>
            <w:vAlign w:val="center"/>
          </w:tcPr>
          <w:p w14:paraId="0CE626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序号</w:t>
            </w:r>
          </w:p>
        </w:tc>
        <w:tc>
          <w:tcPr>
            <w:tcW w:w="1272" w:type="dxa"/>
            <w:noWrap w:val="0"/>
            <w:vAlign w:val="center"/>
          </w:tcPr>
          <w:p w14:paraId="3A2A893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考核指标</w:t>
            </w:r>
          </w:p>
        </w:tc>
        <w:tc>
          <w:tcPr>
            <w:tcW w:w="3900" w:type="dxa"/>
            <w:noWrap w:val="0"/>
            <w:vAlign w:val="center"/>
          </w:tcPr>
          <w:p w14:paraId="4F64120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评分标准</w:t>
            </w:r>
          </w:p>
        </w:tc>
        <w:tc>
          <w:tcPr>
            <w:tcW w:w="756" w:type="dxa"/>
            <w:noWrap w:val="0"/>
            <w:vAlign w:val="center"/>
          </w:tcPr>
          <w:p w14:paraId="43089E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分值</w:t>
            </w:r>
          </w:p>
        </w:tc>
        <w:tc>
          <w:tcPr>
            <w:tcW w:w="732" w:type="dxa"/>
            <w:noWrap w:val="0"/>
            <w:vAlign w:val="center"/>
          </w:tcPr>
          <w:p w14:paraId="7A6E8FFD">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得分</w:t>
            </w:r>
          </w:p>
        </w:tc>
        <w:tc>
          <w:tcPr>
            <w:tcW w:w="732" w:type="dxa"/>
            <w:noWrap w:val="0"/>
            <w:vAlign w:val="center"/>
          </w:tcPr>
          <w:p w14:paraId="49EBE91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备注</w:t>
            </w:r>
          </w:p>
        </w:tc>
      </w:tr>
      <w:tr w14:paraId="12E4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1248" w:type="dxa"/>
            <w:vMerge w:val="restart"/>
            <w:noWrap w:val="0"/>
            <w:vAlign w:val="center"/>
          </w:tcPr>
          <w:p w14:paraId="67EDA05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服务响应与时效性(35分)</w:t>
            </w:r>
          </w:p>
        </w:tc>
        <w:tc>
          <w:tcPr>
            <w:tcW w:w="696" w:type="dxa"/>
            <w:noWrap w:val="0"/>
            <w:vAlign w:val="center"/>
          </w:tcPr>
          <w:p w14:paraId="3C7938B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w:t>
            </w:r>
          </w:p>
        </w:tc>
        <w:tc>
          <w:tcPr>
            <w:tcW w:w="1272" w:type="dxa"/>
            <w:noWrap w:val="0"/>
            <w:vAlign w:val="center"/>
          </w:tcPr>
          <w:p w14:paraId="1B4F731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任务响应速度</w:t>
            </w:r>
          </w:p>
        </w:tc>
        <w:tc>
          <w:tcPr>
            <w:tcW w:w="3900" w:type="dxa"/>
            <w:noWrap w:val="0"/>
            <w:vAlign w:val="center"/>
          </w:tcPr>
          <w:p w14:paraId="686D757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从甲方下达评审任务指令，到乙方确认承接并启动工作的响应时间。响应迅速、无拖延得满分；每发生1次无故延迟扣2分。</w:t>
            </w:r>
          </w:p>
        </w:tc>
        <w:tc>
          <w:tcPr>
            <w:tcW w:w="756" w:type="dxa"/>
            <w:noWrap w:val="0"/>
            <w:vAlign w:val="center"/>
          </w:tcPr>
          <w:p w14:paraId="612EE2C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3481BA7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5D812B4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0102D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1248" w:type="dxa"/>
            <w:vMerge w:val="continue"/>
            <w:noWrap w:val="0"/>
            <w:vAlign w:val="center"/>
          </w:tcPr>
          <w:p w14:paraId="67D1DB5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4560D71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2</w:t>
            </w:r>
          </w:p>
        </w:tc>
        <w:tc>
          <w:tcPr>
            <w:tcW w:w="1272" w:type="dxa"/>
            <w:noWrap w:val="0"/>
            <w:vAlign w:val="center"/>
          </w:tcPr>
          <w:p w14:paraId="24A47FE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工作节点遵守</w:t>
            </w:r>
          </w:p>
        </w:tc>
        <w:tc>
          <w:tcPr>
            <w:tcW w:w="3900" w:type="dxa"/>
            <w:noWrap w:val="0"/>
            <w:vAlign w:val="center"/>
          </w:tcPr>
          <w:p w14:paraId="7E5DCA6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是否严格遵守合同约定的“10+5+</w:t>
            </w:r>
            <w:r>
              <w:rPr>
                <w:rFonts w:hint="eastAsia" w:ascii="仿宋_GB2312" w:hAnsi="仿宋_GB2312" w:eastAsia="仿宋_GB2312" w:cs="仿宋_GB2312"/>
                <w:i w:val="0"/>
                <w:iCs w:val="0"/>
                <w:caps w:val="0"/>
                <w:color w:val="0F1115"/>
                <w:spacing w:val="0"/>
                <w:sz w:val="24"/>
                <w:szCs w:val="24"/>
                <w:shd w:val="clear" w:color="auto" w:fill="FFFFFF"/>
                <w:lang w:val="en-US" w:eastAsia="zh-CN"/>
              </w:rPr>
              <w:t>10</w:t>
            </w:r>
            <w:r>
              <w:rPr>
                <w:rFonts w:hint="eastAsia" w:ascii="仿宋_GB2312" w:hAnsi="仿宋_GB2312" w:eastAsia="仿宋_GB2312" w:cs="仿宋_GB2312"/>
                <w:i w:val="0"/>
                <w:iCs w:val="0"/>
                <w:caps w:val="0"/>
                <w:color w:val="0F1115"/>
                <w:spacing w:val="0"/>
                <w:sz w:val="24"/>
                <w:szCs w:val="24"/>
                <w:shd w:val="clear" w:color="auto" w:fill="FFFFFF"/>
              </w:rPr>
              <w:t>”工作日内控节点（讨论稿、沟通、审定稿）。完全遵守得满分；每项节点出现1次无合理理由的延误扣3分。</w:t>
            </w:r>
          </w:p>
        </w:tc>
        <w:tc>
          <w:tcPr>
            <w:tcW w:w="756" w:type="dxa"/>
            <w:noWrap w:val="0"/>
            <w:vAlign w:val="center"/>
          </w:tcPr>
          <w:p w14:paraId="1131613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15</w:t>
            </w:r>
          </w:p>
        </w:tc>
        <w:tc>
          <w:tcPr>
            <w:tcW w:w="732" w:type="dxa"/>
            <w:noWrap w:val="0"/>
            <w:vAlign w:val="center"/>
          </w:tcPr>
          <w:p w14:paraId="49FFABA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7FD0193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21A94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2" w:hRule="atLeast"/>
        </w:trPr>
        <w:tc>
          <w:tcPr>
            <w:tcW w:w="1248" w:type="dxa"/>
            <w:vMerge w:val="continue"/>
            <w:noWrap w:val="0"/>
            <w:vAlign w:val="center"/>
          </w:tcPr>
          <w:p w14:paraId="42DDBE0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32C1713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3</w:t>
            </w:r>
          </w:p>
        </w:tc>
        <w:tc>
          <w:tcPr>
            <w:tcW w:w="1272" w:type="dxa"/>
            <w:noWrap w:val="0"/>
            <w:vAlign w:val="center"/>
          </w:tcPr>
          <w:p w14:paraId="610068F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紧急任务处理</w:t>
            </w:r>
          </w:p>
        </w:tc>
        <w:tc>
          <w:tcPr>
            <w:tcW w:w="3900" w:type="dxa"/>
            <w:noWrap w:val="0"/>
            <w:vAlign w:val="center"/>
          </w:tcPr>
          <w:p w14:paraId="6D10CF5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对于甲方安排的紧急评审任务，是否具备快速响应和调配资源的能力。能有效应对得满分；推诿或处理不力，每次扣2分。</w:t>
            </w:r>
          </w:p>
        </w:tc>
        <w:tc>
          <w:tcPr>
            <w:tcW w:w="756" w:type="dxa"/>
            <w:noWrap w:val="0"/>
            <w:vAlign w:val="center"/>
          </w:tcPr>
          <w:p w14:paraId="18F8E0E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2E8DED0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663EB5C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39FF1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trPr>
        <w:tc>
          <w:tcPr>
            <w:tcW w:w="1248" w:type="dxa"/>
            <w:vMerge w:val="restart"/>
            <w:noWrap w:val="0"/>
            <w:vAlign w:val="center"/>
          </w:tcPr>
          <w:p w14:paraId="3816F00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沟通与协作质量(30分)</w:t>
            </w:r>
          </w:p>
        </w:tc>
        <w:tc>
          <w:tcPr>
            <w:tcW w:w="696" w:type="dxa"/>
            <w:noWrap w:val="0"/>
            <w:vAlign w:val="center"/>
          </w:tcPr>
          <w:p w14:paraId="10B68E5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4</w:t>
            </w:r>
          </w:p>
        </w:tc>
        <w:tc>
          <w:tcPr>
            <w:tcW w:w="1272" w:type="dxa"/>
            <w:noWrap w:val="0"/>
            <w:vAlign w:val="center"/>
          </w:tcPr>
          <w:p w14:paraId="6FFA832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沟通主动性</w:t>
            </w:r>
          </w:p>
        </w:tc>
        <w:tc>
          <w:tcPr>
            <w:tcW w:w="3900" w:type="dxa"/>
            <w:noWrap w:val="0"/>
            <w:vAlign w:val="center"/>
          </w:tcPr>
          <w:p w14:paraId="5F6B3B5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是否主动、定期向甲方汇报工作进展、潜在风险及需协调事项。沟通主动、信息透明得满分；被动、需催促每次扣1分。</w:t>
            </w:r>
          </w:p>
        </w:tc>
        <w:tc>
          <w:tcPr>
            <w:tcW w:w="756" w:type="dxa"/>
            <w:noWrap w:val="0"/>
            <w:vAlign w:val="center"/>
          </w:tcPr>
          <w:p w14:paraId="3D59230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1BDF5DD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16841E1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795BE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1248" w:type="dxa"/>
            <w:vMerge w:val="continue"/>
            <w:noWrap w:val="0"/>
            <w:vAlign w:val="center"/>
          </w:tcPr>
          <w:p w14:paraId="2BC2105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53F6447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5</w:t>
            </w:r>
          </w:p>
        </w:tc>
        <w:tc>
          <w:tcPr>
            <w:tcW w:w="1272" w:type="dxa"/>
            <w:noWrap w:val="0"/>
            <w:vAlign w:val="center"/>
          </w:tcPr>
          <w:p w14:paraId="31AB259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沟通有效性</w:t>
            </w:r>
          </w:p>
        </w:tc>
        <w:tc>
          <w:tcPr>
            <w:tcW w:w="3900" w:type="dxa"/>
            <w:noWrap w:val="0"/>
            <w:vAlign w:val="center"/>
          </w:tcPr>
          <w:p w14:paraId="031560A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与甲方及项目责任单位的沟通是否清晰、专业、有建设性，能否有效推动问题解决。沟通高效、无误解得满分；因沟通不畅导致工作反复，每次扣2分。</w:t>
            </w:r>
          </w:p>
        </w:tc>
        <w:tc>
          <w:tcPr>
            <w:tcW w:w="756" w:type="dxa"/>
            <w:noWrap w:val="0"/>
            <w:vAlign w:val="center"/>
          </w:tcPr>
          <w:p w14:paraId="074A14C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6633291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58D68A0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24D3E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1248" w:type="dxa"/>
            <w:vMerge w:val="continue"/>
            <w:noWrap w:val="0"/>
            <w:vAlign w:val="center"/>
          </w:tcPr>
          <w:p w14:paraId="538B4E8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605BB5C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w:t>
            </w:r>
          </w:p>
        </w:tc>
        <w:tc>
          <w:tcPr>
            <w:tcW w:w="1272" w:type="dxa"/>
            <w:noWrap w:val="0"/>
            <w:vAlign w:val="center"/>
          </w:tcPr>
          <w:p w14:paraId="7A97BDC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协调配合度</w:t>
            </w:r>
          </w:p>
        </w:tc>
        <w:tc>
          <w:tcPr>
            <w:tcW w:w="3900" w:type="dxa"/>
            <w:noWrap w:val="0"/>
            <w:vAlign w:val="center"/>
          </w:tcPr>
          <w:p w14:paraId="609C4DB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在跨部门、多项目并行时，能否积极配合甲方统筹安排，服从调度。配合度高得满分；出现推诿、不配合情况，每次扣2分。</w:t>
            </w:r>
          </w:p>
        </w:tc>
        <w:tc>
          <w:tcPr>
            <w:tcW w:w="756" w:type="dxa"/>
            <w:noWrap w:val="0"/>
            <w:vAlign w:val="center"/>
          </w:tcPr>
          <w:p w14:paraId="58DB509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44296B0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17CCBB3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10C7B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trPr>
        <w:tc>
          <w:tcPr>
            <w:tcW w:w="1248" w:type="dxa"/>
            <w:vMerge w:val="restart"/>
            <w:noWrap w:val="0"/>
            <w:vAlign w:val="center"/>
          </w:tcPr>
          <w:p w14:paraId="79183C6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团队与资源保障(25分)</w:t>
            </w:r>
          </w:p>
        </w:tc>
        <w:tc>
          <w:tcPr>
            <w:tcW w:w="696" w:type="dxa"/>
            <w:noWrap w:val="0"/>
            <w:vAlign w:val="center"/>
          </w:tcPr>
          <w:p w14:paraId="18B7899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7</w:t>
            </w:r>
          </w:p>
        </w:tc>
        <w:tc>
          <w:tcPr>
            <w:tcW w:w="1272" w:type="dxa"/>
            <w:noWrap w:val="0"/>
            <w:vAlign w:val="center"/>
          </w:tcPr>
          <w:p w14:paraId="065FADE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核心人员稳定性</w:t>
            </w:r>
          </w:p>
        </w:tc>
        <w:tc>
          <w:tcPr>
            <w:tcW w:w="3900" w:type="dxa"/>
            <w:noWrap w:val="0"/>
            <w:vAlign w:val="center"/>
          </w:tcPr>
          <w:p w14:paraId="41352D6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项目负责人及承诺的核心技术人员</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w:t>
            </w:r>
            <w:r>
              <w:rPr>
                <w:rFonts w:hint="eastAsia" w:ascii="仿宋_GB2312" w:hAnsi="仿宋_GB2312" w:eastAsia="仿宋_GB2312" w:cs="仿宋_GB2312"/>
                <w:i w:val="0"/>
                <w:iCs w:val="0"/>
                <w:caps w:val="0"/>
                <w:color w:val="0F1115"/>
                <w:spacing w:val="0"/>
                <w:sz w:val="24"/>
                <w:szCs w:val="24"/>
                <w:shd w:val="clear" w:color="auto" w:fill="FFFFFF"/>
              </w:rPr>
              <w:t>在服务期内是否保持稳定。完全稳定得满分；未经甲方书面同意更换1人次扣3分。</w:t>
            </w:r>
          </w:p>
        </w:tc>
        <w:tc>
          <w:tcPr>
            <w:tcW w:w="756" w:type="dxa"/>
            <w:noWrap w:val="0"/>
            <w:vAlign w:val="center"/>
          </w:tcPr>
          <w:p w14:paraId="28BFF6F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9</w:t>
            </w:r>
          </w:p>
        </w:tc>
        <w:tc>
          <w:tcPr>
            <w:tcW w:w="732" w:type="dxa"/>
            <w:noWrap w:val="0"/>
            <w:vAlign w:val="center"/>
          </w:tcPr>
          <w:p w14:paraId="42F3585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20D3466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51998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vMerge w:val="continue"/>
            <w:noWrap w:val="0"/>
            <w:vAlign w:val="center"/>
          </w:tcPr>
          <w:p w14:paraId="1BD0CF4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33391A1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8</w:t>
            </w:r>
          </w:p>
        </w:tc>
        <w:tc>
          <w:tcPr>
            <w:tcW w:w="1272" w:type="dxa"/>
            <w:noWrap w:val="0"/>
            <w:vAlign w:val="center"/>
          </w:tcPr>
          <w:p w14:paraId="5F2FBE8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团队专业表现</w:t>
            </w:r>
          </w:p>
        </w:tc>
        <w:tc>
          <w:tcPr>
            <w:tcW w:w="3900" w:type="dxa"/>
            <w:noWrap w:val="0"/>
            <w:vAlign w:val="center"/>
          </w:tcPr>
          <w:p w14:paraId="017E703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团队成员在评审会议、现场调研、沟通答疑中表现出的专业素养、业务能力和职业态度。专业、敬业得满分；出现专业性失误或态度问题，每次扣2分。</w:t>
            </w:r>
          </w:p>
        </w:tc>
        <w:tc>
          <w:tcPr>
            <w:tcW w:w="756" w:type="dxa"/>
            <w:noWrap w:val="0"/>
            <w:vAlign w:val="center"/>
          </w:tcPr>
          <w:p w14:paraId="1FDFF77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732" w:type="dxa"/>
            <w:noWrap w:val="0"/>
            <w:vAlign w:val="center"/>
          </w:tcPr>
          <w:p w14:paraId="4BD5A35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1674A8B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31EF9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1248" w:type="dxa"/>
            <w:vMerge w:val="continue"/>
            <w:noWrap w:val="0"/>
            <w:vAlign w:val="center"/>
          </w:tcPr>
          <w:p w14:paraId="6DD6638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69E20CE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9</w:t>
            </w:r>
          </w:p>
        </w:tc>
        <w:tc>
          <w:tcPr>
            <w:tcW w:w="1272" w:type="dxa"/>
            <w:noWrap w:val="0"/>
            <w:vAlign w:val="center"/>
          </w:tcPr>
          <w:p w14:paraId="0409C23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资源投入充足性</w:t>
            </w:r>
          </w:p>
        </w:tc>
        <w:tc>
          <w:tcPr>
            <w:tcW w:w="3900" w:type="dxa"/>
            <w:noWrap w:val="0"/>
            <w:vAlign w:val="center"/>
          </w:tcPr>
          <w:p w14:paraId="4FB71BF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是否按承诺投入足够数量和质量的人力资源，</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工作团队人员不少于</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w:t>
            </w:r>
            <w:r>
              <w:rPr>
                <w:rFonts w:hint="eastAsia" w:ascii="仿宋_GB2312" w:hAnsi="仿宋_GB2312" w:eastAsia="仿宋_GB2312" w:cs="仿宋_GB2312"/>
                <w:i w:val="0"/>
                <w:iCs w:val="0"/>
                <w:caps w:val="0"/>
                <w:color w:val="0F1115"/>
                <w:spacing w:val="0"/>
                <w:sz w:val="24"/>
                <w:szCs w:val="24"/>
                <w:shd w:val="clear" w:color="auto" w:fill="FFFFFF"/>
              </w:rPr>
              <w:t>确保多项评审任务能并行推进、不受影响。</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工作团队人员不少于</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3人且</w:t>
            </w:r>
            <w:r>
              <w:rPr>
                <w:rFonts w:hint="eastAsia" w:ascii="仿宋_GB2312" w:hAnsi="仿宋_GB2312" w:eastAsia="仿宋_GB2312" w:cs="仿宋_GB2312"/>
                <w:i w:val="0"/>
                <w:iCs w:val="0"/>
                <w:caps w:val="0"/>
                <w:color w:val="0F1115"/>
                <w:spacing w:val="0"/>
                <w:sz w:val="24"/>
                <w:szCs w:val="24"/>
                <w:shd w:val="clear" w:color="auto" w:fill="FFFFFF"/>
              </w:rPr>
              <w:t>资源充足得满分；</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工作团队人员不足</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3人，扣4分；</w:t>
            </w:r>
            <w:r>
              <w:rPr>
                <w:rFonts w:hint="eastAsia" w:ascii="仿宋_GB2312" w:hAnsi="仿宋_GB2312" w:eastAsia="仿宋_GB2312" w:cs="仿宋_GB2312"/>
                <w:i w:val="0"/>
                <w:iCs w:val="0"/>
                <w:caps w:val="0"/>
                <w:color w:val="0F1115"/>
                <w:spacing w:val="0"/>
                <w:sz w:val="24"/>
                <w:szCs w:val="24"/>
                <w:shd w:val="clear" w:color="auto" w:fill="FFFFFF"/>
              </w:rPr>
              <w:t>因人手不足影响进度，每次扣2分。</w:t>
            </w:r>
          </w:p>
        </w:tc>
        <w:tc>
          <w:tcPr>
            <w:tcW w:w="756" w:type="dxa"/>
            <w:noWrap w:val="0"/>
            <w:vAlign w:val="center"/>
          </w:tcPr>
          <w:p w14:paraId="1FD2B30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732" w:type="dxa"/>
            <w:noWrap w:val="0"/>
            <w:vAlign w:val="center"/>
          </w:tcPr>
          <w:p w14:paraId="6CFBA31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29640DB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00A64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1248" w:type="dxa"/>
            <w:vMerge w:val="restart"/>
            <w:noWrap w:val="0"/>
            <w:vAlign w:val="center"/>
          </w:tcPr>
          <w:p w14:paraId="563FACC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合规与风险控制(10分)</w:t>
            </w:r>
          </w:p>
        </w:tc>
        <w:tc>
          <w:tcPr>
            <w:tcW w:w="696" w:type="dxa"/>
            <w:vMerge w:val="restart"/>
            <w:noWrap w:val="0"/>
            <w:vAlign w:val="center"/>
          </w:tcPr>
          <w:p w14:paraId="13C9927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10</w:t>
            </w:r>
          </w:p>
        </w:tc>
        <w:tc>
          <w:tcPr>
            <w:tcW w:w="1272" w:type="dxa"/>
            <w:noWrap w:val="0"/>
            <w:vAlign w:val="center"/>
          </w:tcPr>
          <w:p w14:paraId="159D9BD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i w:val="0"/>
                <w:iCs w:val="0"/>
                <w:caps w:val="0"/>
                <w:color w:val="0F1115"/>
                <w:spacing w:val="0"/>
                <w:kern w:val="2"/>
                <w:sz w:val="24"/>
                <w:szCs w:val="24"/>
                <w:highlight w:val="none"/>
                <w:shd w:val="clear" w:color="auto" w:fill="FFFFFF"/>
                <w:lang w:val="en-US" w:eastAsia="zh-CN" w:bidi="ar-SA"/>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lang w:eastAsia="zh-CN"/>
              </w:rPr>
              <w:t>重大项目</w:t>
            </w: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报告合规性与准确性</w:t>
            </w:r>
          </w:p>
        </w:tc>
        <w:tc>
          <w:tcPr>
            <w:tcW w:w="3900" w:type="dxa"/>
            <w:noWrap w:val="0"/>
            <w:vAlign w:val="center"/>
          </w:tcPr>
          <w:p w14:paraId="476219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i w:val="0"/>
                <w:iCs w:val="0"/>
                <w:caps w:val="0"/>
                <w:color w:val="0F1115"/>
                <w:spacing w:val="0"/>
                <w:kern w:val="2"/>
                <w:sz w:val="24"/>
                <w:szCs w:val="24"/>
                <w:highlight w:val="none"/>
                <w:shd w:val="clear" w:color="auto" w:fill="FFFFFF"/>
                <w:lang w:val="en-US" w:eastAsia="zh-CN" w:bidi="ar-SA"/>
              </w:rPr>
            </w:pP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重大项目</w:t>
            </w:r>
            <w:r>
              <w:rPr>
                <w:rFonts w:hint="eastAsia" w:ascii="仿宋_GB2312" w:hAnsi="仿宋_GB2312" w:eastAsia="仿宋_GB2312" w:cs="仿宋_GB2312"/>
                <w:i w:val="0"/>
                <w:iCs w:val="0"/>
                <w:caps w:val="0"/>
                <w:color w:val="0F1115"/>
                <w:spacing w:val="0"/>
                <w:sz w:val="24"/>
                <w:szCs w:val="24"/>
                <w:highlight w:val="none"/>
                <w:shd w:val="clear" w:color="auto" w:fill="FFFFFF"/>
              </w:rPr>
              <w:t>报告</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的</w:t>
            </w:r>
            <w:r>
              <w:rPr>
                <w:rFonts w:hint="eastAsia" w:ascii="仿宋_GB2312" w:hAnsi="仿宋_GB2312" w:eastAsia="仿宋_GB2312" w:cs="仿宋_GB2312"/>
                <w:i w:val="0"/>
                <w:iCs w:val="0"/>
                <w:caps w:val="0"/>
                <w:color w:val="0F1115"/>
                <w:spacing w:val="0"/>
                <w:sz w:val="24"/>
                <w:szCs w:val="24"/>
                <w:highlight w:val="none"/>
                <w:shd w:val="clear" w:color="auto" w:fill="FFFFFF"/>
              </w:rPr>
              <w:t>测算过程是否清晰，数据是否真实准确，结论是否客观公正。</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对重大项目报告进行抽检，出现报告测算过程不清晰，数据不真实准确，结论不客观公正现象，本项为</w:t>
            </w:r>
            <w:r>
              <w:rPr>
                <w:rFonts w:hint="eastAsia" w:ascii="仿宋_GB2312" w:hAnsi="仿宋_GB2312" w:eastAsia="仿宋_GB2312" w:cs="仿宋_GB2312"/>
                <w:i w:val="0"/>
                <w:iCs w:val="0"/>
                <w:caps w:val="0"/>
                <w:color w:val="0F1115"/>
                <w:spacing w:val="0"/>
                <w:sz w:val="24"/>
                <w:szCs w:val="24"/>
                <w:highlight w:val="none"/>
                <w:shd w:val="clear" w:color="auto" w:fill="FFFFFF"/>
                <w:lang w:val="en-US" w:eastAsia="zh-CN"/>
              </w:rPr>
              <w:t>0分。</w:t>
            </w:r>
          </w:p>
        </w:tc>
        <w:tc>
          <w:tcPr>
            <w:tcW w:w="756" w:type="dxa"/>
            <w:noWrap w:val="0"/>
            <w:vAlign w:val="center"/>
          </w:tcPr>
          <w:p w14:paraId="3320E2B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sz w:val="24"/>
                <w:szCs w:val="24"/>
                <w:highlight w:val="none"/>
                <w:vertAlign w:val="baseline"/>
                <w:lang w:val="en-US" w:eastAsia="zh-CN"/>
              </w:rPr>
              <w:t>5</w:t>
            </w:r>
          </w:p>
        </w:tc>
        <w:tc>
          <w:tcPr>
            <w:tcW w:w="732" w:type="dxa"/>
            <w:noWrap w:val="0"/>
            <w:vAlign w:val="center"/>
          </w:tcPr>
          <w:p w14:paraId="1CD06D4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732" w:type="dxa"/>
            <w:noWrap w:val="0"/>
            <w:vAlign w:val="center"/>
          </w:tcPr>
          <w:p w14:paraId="5C16E01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14:paraId="1285C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248" w:type="dxa"/>
            <w:vMerge w:val="continue"/>
            <w:noWrap w:val="0"/>
            <w:vAlign w:val="center"/>
          </w:tcPr>
          <w:p w14:paraId="325BA15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pPr>
          </w:p>
        </w:tc>
        <w:tc>
          <w:tcPr>
            <w:tcW w:w="696" w:type="dxa"/>
            <w:vMerge w:val="continue"/>
            <w:noWrap w:val="0"/>
            <w:vAlign w:val="center"/>
          </w:tcPr>
          <w:p w14:paraId="19D6E33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lang w:val="en-US" w:eastAsia="zh-CN"/>
              </w:rPr>
            </w:pPr>
          </w:p>
        </w:tc>
        <w:tc>
          <w:tcPr>
            <w:tcW w:w="1272" w:type="dxa"/>
            <w:noWrap w:val="0"/>
            <w:vAlign w:val="center"/>
          </w:tcPr>
          <w:p w14:paraId="77CB775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kern w:val="2"/>
                <w:sz w:val="24"/>
                <w:szCs w:val="24"/>
                <w:highlight w:val="none"/>
                <w:vertAlign w:val="baseline"/>
                <w:lang w:val="en-US" w:eastAsia="zh-CN" w:bidi="ar-SA"/>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保密义务履行</w:t>
            </w:r>
          </w:p>
        </w:tc>
        <w:tc>
          <w:tcPr>
            <w:tcW w:w="3900" w:type="dxa"/>
            <w:noWrap w:val="0"/>
            <w:vAlign w:val="center"/>
          </w:tcPr>
          <w:p w14:paraId="635A24A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i w:val="0"/>
                <w:iCs w:val="0"/>
                <w:caps w:val="0"/>
                <w:color w:val="0F1115"/>
                <w:spacing w:val="0"/>
                <w:sz w:val="24"/>
                <w:szCs w:val="24"/>
                <w:highlight w:val="none"/>
                <w:shd w:val="clear" w:color="auto" w:fill="FFFFFF"/>
              </w:rPr>
              <w:t>是否发生任何形式的信息泄露。</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未发生</w:t>
            </w:r>
            <w:r>
              <w:rPr>
                <w:rFonts w:hint="eastAsia" w:ascii="仿宋_GB2312" w:hAnsi="仿宋_GB2312" w:eastAsia="仿宋_GB2312" w:cs="仿宋_GB2312"/>
                <w:i w:val="0"/>
                <w:iCs w:val="0"/>
                <w:caps w:val="0"/>
                <w:color w:val="0F1115"/>
                <w:spacing w:val="0"/>
                <w:sz w:val="24"/>
                <w:szCs w:val="24"/>
                <w:highlight w:val="none"/>
                <w:shd w:val="clear" w:color="auto" w:fill="FFFFFF"/>
              </w:rPr>
              <w:t>泄密事件得满分；发生泄密事件本项为0分，并启动违约追责。</w:t>
            </w:r>
          </w:p>
        </w:tc>
        <w:tc>
          <w:tcPr>
            <w:tcW w:w="756" w:type="dxa"/>
            <w:noWrap w:val="0"/>
            <w:vAlign w:val="center"/>
          </w:tcPr>
          <w:p w14:paraId="31B2287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sz w:val="24"/>
                <w:szCs w:val="24"/>
                <w:highlight w:val="none"/>
                <w:vertAlign w:val="baseline"/>
                <w:lang w:val="en-US" w:eastAsia="zh-CN"/>
              </w:rPr>
              <w:t>5</w:t>
            </w:r>
          </w:p>
        </w:tc>
        <w:tc>
          <w:tcPr>
            <w:tcW w:w="732" w:type="dxa"/>
            <w:noWrap w:val="0"/>
            <w:vAlign w:val="center"/>
          </w:tcPr>
          <w:p w14:paraId="252C7E1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732" w:type="dxa"/>
            <w:noWrap w:val="0"/>
            <w:vAlign w:val="center"/>
          </w:tcPr>
          <w:p w14:paraId="0E99863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14:paraId="2B962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16" w:type="dxa"/>
            <w:gridSpan w:val="4"/>
            <w:noWrap w:val="0"/>
            <w:vAlign w:val="center"/>
          </w:tcPr>
          <w:p w14:paraId="286182A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eastAsia="zh-CN"/>
              </w:rPr>
            </w:pPr>
            <w:r>
              <w:rPr>
                <w:rFonts w:hint="eastAsia" w:ascii="仿宋_GB2312" w:hAnsi="仿宋_GB2312" w:eastAsia="仿宋_GB2312" w:cs="仿宋_GB2312"/>
                <w:i w:val="0"/>
                <w:iCs w:val="0"/>
                <w:caps w:val="0"/>
                <w:color w:val="0F1115"/>
                <w:spacing w:val="0"/>
                <w:sz w:val="24"/>
                <w:szCs w:val="24"/>
                <w:shd w:val="clear" w:color="auto" w:fill="FFFFFF"/>
                <w:lang w:eastAsia="zh-CN"/>
              </w:rPr>
              <w:t>合计</w:t>
            </w:r>
          </w:p>
        </w:tc>
        <w:tc>
          <w:tcPr>
            <w:tcW w:w="756" w:type="dxa"/>
            <w:noWrap w:val="0"/>
            <w:vAlign w:val="center"/>
          </w:tcPr>
          <w:p w14:paraId="4FE4278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100</w:t>
            </w:r>
          </w:p>
        </w:tc>
        <w:tc>
          <w:tcPr>
            <w:tcW w:w="732" w:type="dxa"/>
            <w:noWrap w:val="0"/>
            <w:vAlign w:val="center"/>
          </w:tcPr>
          <w:p w14:paraId="027F31C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662706E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bl>
    <w:p w14:paraId="1007149B">
      <w:pPr>
        <w:rPr>
          <w:rFonts w:hint="eastAsia" w:ascii="黑体" w:hAnsi="黑体" w:eastAsia="黑体" w:cs="黑体"/>
          <w:sz w:val="32"/>
          <w:szCs w:val="32"/>
          <w:lang w:val="en-US" w:eastAsia="zh-CN"/>
        </w:rPr>
      </w:pPr>
    </w:p>
    <w:p w14:paraId="2E3A6577">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绩效考核系数计算方法：</w:t>
      </w:r>
    </w:p>
    <w:p w14:paraId="14F8B24E">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lang w:val="en-US" w:eastAsia="zh-CN"/>
        </w:rPr>
      </w:pPr>
    </w:p>
    <w:tbl>
      <w:tblPr>
        <w:tblStyle w:val="6"/>
        <w:tblW w:w="0" w:type="auto"/>
        <w:tblInd w:w="8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2"/>
        <w:gridCol w:w="3617"/>
      </w:tblGrid>
      <w:tr w14:paraId="0E36D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0BC1D08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i w:val="0"/>
                <w:iCs w:val="0"/>
                <w:caps w:val="0"/>
                <w:color w:val="0F1115"/>
                <w:spacing w:val="0"/>
                <w:sz w:val="24"/>
                <w:szCs w:val="24"/>
                <w:shd w:val="clear" w:color="auto" w:fill="FFFFFF"/>
              </w:rPr>
            </w:pPr>
            <w:r>
              <w:rPr>
                <w:rFonts w:hint="eastAsia" w:ascii="黑体" w:hAnsi="黑体" w:eastAsia="黑体" w:cs="黑体"/>
                <w:i w:val="0"/>
                <w:iCs w:val="0"/>
                <w:caps w:val="0"/>
                <w:color w:val="0F1115"/>
                <w:spacing w:val="0"/>
                <w:sz w:val="24"/>
                <w:szCs w:val="24"/>
                <w:shd w:val="clear" w:color="auto" w:fill="FFFFFF"/>
              </w:rPr>
              <w:t>绩效考核得分</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184571F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i w:val="0"/>
                <w:iCs w:val="0"/>
                <w:caps w:val="0"/>
                <w:color w:val="0F1115"/>
                <w:spacing w:val="0"/>
                <w:sz w:val="24"/>
                <w:szCs w:val="24"/>
                <w:shd w:val="clear" w:color="auto" w:fill="FFFFFF"/>
              </w:rPr>
            </w:pPr>
            <w:r>
              <w:rPr>
                <w:rFonts w:hint="eastAsia" w:ascii="黑体" w:hAnsi="黑体" w:eastAsia="黑体" w:cs="黑体"/>
                <w:i w:val="0"/>
                <w:iCs w:val="0"/>
                <w:caps w:val="0"/>
                <w:color w:val="0F1115"/>
                <w:spacing w:val="0"/>
                <w:sz w:val="24"/>
                <w:szCs w:val="24"/>
                <w:shd w:val="clear" w:color="auto" w:fill="FFFFFF"/>
              </w:rPr>
              <w:t>绩效考核系数</w:t>
            </w:r>
          </w:p>
        </w:tc>
      </w:tr>
      <w:tr w14:paraId="2464C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6F8D3CE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100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90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104F9E1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rPr>
            </w:pPr>
            <w:r>
              <w:rPr>
                <w:rFonts w:hint="default" w:ascii="仿宋_GB2312" w:hAnsi="仿宋_GB2312" w:eastAsia="仿宋_GB2312" w:cs="仿宋_GB2312"/>
                <w:i w:val="0"/>
                <w:iCs w:val="0"/>
                <w:caps w:val="0"/>
                <w:color w:val="0F1115"/>
                <w:spacing w:val="0"/>
                <w:sz w:val="24"/>
                <w:szCs w:val="24"/>
                <w:shd w:val="clear" w:color="auto" w:fill="FFFFFF"/>
              </w:rPr>
              <w:t>1.00</w:t>
            </w:r>
          </w:p>
        </w:tc>
      </w:tr>
      <w:tr w14:paraId="616F0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7D580DC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89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80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1D9D107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rPr>
            </w:pPr>
            <w:r>
              <w:rPr>
                <w:rFonts w:hint="default" w:ascii="仿宋_GB2312" w:hAnsi="仿宋_GB2312" w:eastAsia="仿宋_GB2312" w:cs="仿宋_GB2312"/>
                <w:i w:val="0"/>
                <w:iCs w:val="0"/>
                <w:caps w:val="0"/>
                <w:color w:val="0F1115"/>
                <w:spacing w:val="0"/>
                <w:sz w:val="24"/>
                <w:szCs w:val="24"/>
                <w:shd w:val="clear" w:color="auto" w:fill="FFFFFF"/>
              </w:rPr>
              <w:t>0.9</w:t>
            </w:r>
          </w:p>
        </w:tc>
      </w:tr>
      <w:tr w14:paraId="743DB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6BA75CB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79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70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39E7CB1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default" w:ascii="仿宋_GB2312" w:hAnsi="仿宋_GB2312" w:eastAsia="仿宋_GB2312" w:cs="仿宋_GB2312"/>
                <w:i w:val="0"/>
                <w:iCs w:val="0"/>
                <w:caps w:val="0"/>
                <w:color w:val="0F1115"/>
                <w:spacing w:val="0"/>
                <w:sz w:val="24"/>
                <w:szCs w:val="24"/>
                <w:shd w:val="clear" w:color="auto" w:fill="FFFFFF"/>
              </w:rPr>
              <w:t>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8</w:t>
            </w:r>
          </w:p>
        </w:tc>
      </w:tr>
      <w:tr w14:paraId="08897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0D6E4BC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6BF298D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eastAsia="zh-CN"/>
              </w:rPr>
            </w:pPr>
            <w:r>
              <w:rPr>
                <w:rFonts w:hint="default" w:ascii="仿宋_GB2312" w:hAnsi="仿宋_GB2312" w:eastAsia="仿宋_GB2312" w:cs="仿宋_GB2312"/>
                <w:i w:val="0"/>
                <w:iCs w:val="0"/>
                <w:caps w:val="0"/>
                <w:color w:val="0F1115"/>
                <w:spacing w:val="0"/>
                <w:sz w:val="24"/>
                <w:szCs w:val="24"/>
                <w:shd w:val="clear" w:color="auto" w:fill="FFFFFF"/>
              </w:rPr>
              <w:t>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7</w:t>
            </w:r>
          </w:p>
        </w:tc>
      </w:tr>
      <w:tr w14:paraId="0EB62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2D248FB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,0]</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4CB1204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lang w:val="en-US" w:eastAsia="zh-CN"/>
              </w:rPr>
            </w:pPr>
            <w:r>
              <w:rPr>
                <w:rFonts w:hint="default" w:ascii="仿宋_GB2312" w:hAnsi="仿宋_GB2312" w:eastAsia="仿宋_GB2312" w:cs="仿宋_GB2312"/>
                <w:i w:val="0"/>
                <w:iCs w:val="0"/>
                <w:caps w:val="0"/>
                <w:color w:val="0F1115"/>
                <w:spacing w:val="0"/>
                <w:sz w:val="24"/>
                <w:szCs w:val="24"/>
                <w:shd w:val="clear" w:color="auto" w:fill="FFFFFF"/>
              </w:rPr>
              <w:t>0</w:t>
            </w:r>
          </w:p>
        </w:tc>
      </w:tr>
    </w:tbl>
    <w:p w14:paraId="76FB3F89">
      <w:pPr>
        <w:pStyle w:val="11"/>
        <w:rPr>
          <w:rFonts w:hint="eastAsia"/>
          <w:lang w:val="en-US" w:eastAsia="zh-Hans"/>
        </w:rPr>
        <w:sectPr>
          <w:pgSz w:w="11906" w:h="16838"/>
          <w:pgMar w:top="1440" w:right="1800" w:bottom="1440" w:left="1800" w:header="851" w:footer="992" w:gutter="0"/>
          <w:cols w:space="425" w:num="1"/>
          <w:docGrid w:type="lines" w:linePitch="312" w:charSpace="0"/>
        </w:sectPr>
      </w:pPr>
    </w:p>
    <w:p w14:paraId="318BA47B">
      <w:pPr>
        <w:jc w:val="left"/>
        <w:rPr>
          <w:rFonts w:hint="default" w:ascii="华文仿宋" w:hAnsi="华文仿宋" w:eastAsia="华文仿宋" w:cs="Times New Roman"/>
          <w:b/>
          <w:spacing w:val="-20"/>
          <w:sz w:val="28"/>
          <w:szCs w:val="28"/>
          <w:lang w:val="en-US" w:eastAsia="zh-CN"/>
        </w:rPr>
      </w:pPr>
      <w:r>
        <w:rPr>
          <w:rFonts w:hint="eastAsia" w:ascii="华文仿宋" w:hAnsi="华文仿宋" w:eastAsia="华文仿宋" w:cs="Times New Roman"/>
          <w:b/>
          <w:spacing w:val="-20"/>
          <w:sz w:val="28"/>
          <w:szCs w:val="28"/>
          <w:lang w:val="en-US" w:eastAsia="zh-CN"/>
        </w:rPr>
        <w:t>采购包2：</w:t>
      </w:r>
    </w:p>
    <w:p w14:paraId="4DB77388">
      <w:pPr>
        <w:jc w:val="center"/>
        <w:rPr>
          <w:rFonts w:ascii="黑体" w:hAnsi="黑体" w:eastAsia="黑体" w:cs="黑体"/>
          <w:b/>
          <w:spacing w:val="-20"/>
          <w:sz w:val="52"/>
          <w:szCs w:val="52"/>
        </w:rPr>
      </w:pPr>
      <w:r>
        <w:rPr>
          <w:rFonts w:hint="eastAsia" w:ascii="黑体" w:hAnsi="黑体" w:eastAsia="黑体" w:cs="黑体"/>
          <w:b/>
          <w:spacing w:val="-20"/>
          <w:sz w:val="52"/>
          <w:szCs w:val="52"/>
        </w:rPr>
        <w:t>西安市数据局</w:t>
      </w:r>
    </w:p>
    <w:p w14:paraId="1C48D7C5">
      <w:pPr>
        <w:jc w:val="center"/>
        <w:rPr>
          <w:rFonts w:ascii="黑体" w:hAnsi="黑体" w:eastAsia="黑体" w:cs="黑体"/>
          <w:b/>
          <w:spacing w:val="-20"/>
          <w:sz w:val="52"/>
          <w:szCs w:val="52"/>
        </w:rPr>
      </w:pPr>
      <w:r>
        <w:rPr>
          <w:rFonts w:hint="eastAsia" w:ascii="黑体" w:hAnsi="黑体" w:eastAsia="黑体" w:cs="黑体"/>
          <w:b/>
          <w:spacing w:val="-20"/>
          <w:sz w:val="52"/>
          <w:szCs w:val="52"/>
          <w:lang w:val="en-US" w:eastAsia="zh-CN"/>
        </w:rPr>
        <w:t>2025年度</w:t>
      </w:r>
      <w:r>
        <w:rPr>
          <w:rFonts w:hint="eastAsia" w:ascii="黑体" w:hAnsi="黑体" w:eastAsia="黑体" w:cs="黑体"/>
          <w:b/>
          <w:spacing w:val="-20"/>
          <w:sz w:val="52"/>
          <w:szCs w:val="52"/>
        </w:rPr>
        <w:t>信息化项目管理咨询项目</w:t>
      </w:r>
    </w:p>
    <w:p w14:paraId="1F9944E0">
      <w:pPr>
        <w:jc w:val="center"/>
        <w:rPr>
          <w:rFonts w:ascii="黑体" w:hAnsi="黑体" w:eastAsia="黑体" w:cs="黑体"/>
          <w:b/>
          <w:sz w:val="72"/>
          <w:szCs w:val="72"/>
        </w:rPr>
      </w:pPr>
      <w:r>
        <w:rPr>
          <w:rFonts w:hint="eastAsia" w:ascii="黑体" w:hAnsi="黑体" w:eastAsia="黑体" w:cs="黑体"/>
          <w:b/>
          <w:sz w:val="72"/>
          <w:szCs w:val="72"/>
        </w:rPr>
        <w:t>服 务 合 同</w:t>
      </w:r>
    </w:p>
    <w:p w14:paraId="09B92E9D">
      <w:pPr>
        <w:jc w:val="center"/>
        <w:rPr>
          <w:rFonts w:hint="eastAsia" w:ascii="华文仿宋" w:hAnsi="华文仿宋" w:eastAsia="华文仿宋" w:cs="Times New Roman"/>
          <w:sz w:val="28"/>
          <w:szCs w:val="28"/>
          <w:lang w:val="en-US" w:eastAsia="zh-CN"/>
        </w:rPr>
      </w:pPr>
      <w:r>
        <w:rPr>
          <w:rFonts w:hint="eastAsia" w:ascii="华文仿宋" w:hAnsi="华文仿宋" w:eastAsia="华文仿宋" w:cs="Times New Roman"/>
          <w:sz w:val="28"/>
          <w:szCs w:val="28"/>
          <w:lang w:val="en-US" w:eastAsia="zh-CN"/>
        </w:rPr>
        <w:t>:</w:t>
      </w:r>
    </w:p>
    <w:p w14:paraId="57D8E898">
      <w:pPr>
        <w:pStyle w:val="2"/>
        <w:rPr>
          <w:rFonts w:hint="eastAsia"/>
          <w:lang w:val="en-US" w:eastAsia="zh-CN"/>
        </w:rPr>
      </w:pPr>
    </w:p>
    <w:p w14:paraId="5EC4DEC8">
      <w:pPr>
        <w:jc w:val="center"/>
        <w:rPr>
          <w:rFonts w:ascii="华文仿宋" w:hAnsi="华文仿宋" w:eastAsia="华文仿宋" w:cs="Times New Roman"/>
          <w:sz w:val="28"/>
          <w:szCs w:val="28"/>
        </w:rPr>
      </w:pPr>
    </w:p>
    <w:p w14:paraId="59D40300">
      <w:pPr>
        <w:jc w:val="center"/>
        <w:rPr>
          <w:rFonts w:ascii="华文仿宋" w:hAnsi="华文仿宋" w:eastAsia="华文仿宋" w:cs="Times New Roman"/>
          <w:sz w:val="28"/>
          <w:szCs w:val="28"/>
        </w:rPr>
      </w:pPr>
    </w:p>
    <w:p w14:paraId="287FCF1E">
      <w:pPr>
        <w:jc w:val="center"/>
        <w:rPr>
          <w:rFonts w:ascii="华文仿宋" w:hAnsi="华文仿宋" w:eastAsia="华文仿宋" w:cs="Times New Roman"/>
          <w:sz w:val="28"/>
          <w:szCs w:val="28"/>
        </w:rPr>
      </w:pPr>
    </w:p>
    <w:p w14:paraId="2D9F99F0">
      <w:pPr>
        <w:rPr>
          <w:rFonts w:ascii="华文仿宋" w:hAnsi="华文仿宋" w:eastAsia="华文仿宋" w:cs="Times New Roman"/>
          <w:sz w:val="28"/>
          <w:szCs w:val="28"/>
        </w:rPr>
      </w:pPr>
    </w:p>
    <w:p w14:paraId="71B26572">
      <w:pPr>
        <w:jc w:val="center"/>
        <w:rPr>
          <w:rFonts w:ascii="华文仿宋" w:hAnsi="华文仿宋" w:eastAsia="华文仿宋" w:cs="Times New Roman"/>
          <w:sz w:val="28"/>
          <w:szCs w:val="28"/>
        </w:rPr>
      </w:pPr>
    </w:p>
    <w:p w14:paraId="4DCF61B8">
      <w:pPr>
        <w:jc w:val="center"/>
        <w:rPr>
          <w:rFonts w:ascii="华文仿宋" w:hAnsi="华文仿宋" w:eastAsia="华文仿宋" w:cs="Times New Roman"/>
          <w:sz w:val="28"/>
          <w:szCs w:val="28"/>
        </w:rPr>
      </w:pPr>
    </w:p>
    <w:p w14:paraId="0F7E1E83">
      <w:pPr>
        <w:jc w:val="center"/>
        <w:rPr>
          <w:rFonts w:ascii="华文仿宋" w:hAnsi="华文仿宋" w:eastAsia="华文仿宋" w:cs="Times New Roman"/>
          <w:sz w:val="28"/>
          <w:szCs w:val="28"/>
        </w:rPr>
      </w:pPr>
    </w:p>
    <w:p w14:paraId="4E77A86A">
      <w:pPr>
        <w:ind w:firstLine="2124" w:firstLineChars="664"/>
        <w:rPr>
          <w:rFonts w:ascii="黑体" w:hAnsi="Times New Roman" w:eastAsia="黑体" w:cs="Times New Roman"/>
          <w:sz w:val="32"/>
          <w:szCs w:val="32"/>
        </w:rPr>
      </w:pPr>
      <w:r>
        <w:rPr>
          <w:rFonts w:hint="eastAsia" w:ascii="黑体" w:hAnsi="Times New Roman" w:eastAsia="黑体" w:cs="Times New Roman"/>
          <w:sz w:val="32"/>
          <w:szCs w:val="32"/>
        </w:rPr>
        <w:t>甲  方：西安市数据局</w:t>
      </w:r>
    </w:p>
    <w:p w14:paraId="36A826E3">
      <w:pPr>
        <w:tabs>
          <w:tab w:val="left" w:pos="480"/>
        </w:tabs>
        <w:ind w:firstLine="2124" w:firstLineChars="664"/>
        <w:rPr>
          <w:rFonts w:ascii="黑体" w:hAnsi="宋体" w:eastAsia="黑体" w:cs="Times New Roman"/>
          <w:sz w:val="32"/>
          <w:szCs w:val="32"/>
        </w:rPr>
      </w:pPr>
      <w:r>
        <w:rPr>
          <w:rFonts w:hint="eastAsia" w:ascii="黑体" w:hAnsi="Times New Roman" w:eastAsia="黑体" w:cs="Times New Roman"/>
          <w:sz w:val="32"/>
          <w:szCs w:val="32"/>
        </w:rPr>
        <w:t xml:space="preserve">乙  方： </w:t>
      </w:r>
    </w:p>
    <w:p w14:paraId="07845F50">
      <w:pPr>
        <w:jc w:val="center"/>
        <w:rPr>
          <w:rFonts w:ascii="黑体" w:hAnsi="Times New Roman" w:eastAsia="黑体" w:cs="Times New Roman"/>
          <w:sz w:val="32"/>
          <w:szCs w:val="32"/>
        </w:rPr>
      </w:pPr>
      <w:r>
        <w:rPr>
          <w:rFonts w:hint="eastAsia" w:ascii="黑体" w:hAnsi="Times New Roman" w:eastAsia="黑体" w:cs="Times New Roman"/>
          <w:sz w:val="32"/>
          <w:szCs w:val="32"/>
        </w:rPr>
        <w:t>20</w:t>
      </w:r>
      <w:r>
        <w:rPr>
          <w:rFonts w:hint="eastAsia" w:ascii="黑体" w:hAnsi="Times New Roman" w:eastAsia="黑体" w:cs="Times New Roman"/>
          <w:sz w:val="32"/>
          <w:szCs w:val="32"/>
          <w:lang w:val="en-US" w:eastAsia="zh-CN"/>
        </w:rPr>
        <w:t xml:space="preserve">  </w:t>
      </w:r>
      <w:r>
        <w:rPr>
          <w:rFonts w:hint="eastAsia" w:ascii="黑体" w:hAnsi="Times New Roman" w:eastAsia="黑体" w:cs="Times New Roman"/>
          <w:sz w:val="32"/>
          <w:szCs w:val="32"/>
        </w:rPr>
        <w:t>年   月</w:t>
      </w:r>
    </w:p>
    <w:p w14:paraId="7F368F55">
      <w:pPr>
        <w:jc w:val="center"/>
        <w:rPr>
          <w:rFonts w:ascii="黑体" w:hAnsi="Times New Roman" w:eastAsia="黑体" w:cs="Times New Roman"/>
          <w:sz w:val="32"/>
          <w:szCs w:val="32"/>
        </w:rPr>
      </w:pPr>
    </w:p>
    <w:p w14:paraId="5BBC021F">
      <w:pPr>
        <w:jc w:val="center"/>
        <w:rPr>
          <w:rFonts w:ascii="华文仿宋" w:hAnsi="华文仿宋" w:eastAsia="华文仿宋" w:cs="宋体"/>
          <w:b/>
          <w:bCs/>
          <w:sz w:val="28"/>
          <w:szCs w:val="28"/>
        </w:rPr>
      </w:pPr>
      <w:r>
        <w:rPr>
          <w:rFonts w:hint="eastAsia" w:ascii="黑体" w:hAnsi="Times New Roman" w:eastAsia="黑体" w:cs="Times New Roman"/>
          <w:sz w:val="32"/>
          <w:szCs w:val="32"/>
        </w:rPr>
        <w:t>中国  西安</w:t>
      </w:r>
    </w:p>
    <w:p w14:paraId="2CCE6AB1">
      <w:pPr>
        <w:rPr>
          <w:rFonts w:ascii="黑体" w:hAnsi="Times New Roman" w:eastAsia="黑体" w:cs="Times New Roman"/>
          <w:sz w:val="32"/>
          <w:szCs w:val="32"/>
        </w:rPr>
      </w:pPr>
      <w:r>
        <w:rPr>
          <w:rFonts w:hint="eastAsia" w:ascii="黑体" w:hAnsi="Times New Roman" w:eastAsia="黑体" w:cs="Times New Roman"/>
          <w:sz w:val="32"/>
          <w:szCs w:val="32"/>
        </w:rPr>
        <w:br w:type="page"/>
      </w:r>
    </w:p>
    <w:p w14:paraId="4F74331E">
      <w:pPr>
        <w:widowControl/>
        <w:adjustRightInd w:val="0"/>
        <w:snapToGrid w:val="0"/>
        <w:spacing w:line="360" w:lineRule="auto"/>
        <w:ind w:firstLine="562" w:firstLineChars="200"/>
        <w:textAlignment w:val="baseline"/>
        <w:rPr>
          <w:rFonts w:ascii="仿宋" w:hAnsi="仿宋" w:eastAsia="仿宋" w:cs="宋体"/>
          <w:sz w:val="28"/>
          <w:szCs w:val="28"/>
          <w:u w:val="single"/>
        </w:rPr>
      </w:pPr>
      <w:r>
        <w:rPr>
          <w:rFonts w:hint="eastAsia" w:ascii="仿宋" w:hAnsi="仿宋" w:eastAsia="仿宋" w:cs="宋体"/>
          <w:b/>
          <w:bCs/>
          <w:sz w:val="28"/>
          <w:szCs w:val="28"/>
        </w:rPr>
        <w:t>甲方：</w:t>
      </w:r>
      <w:r>
        <w:rPr>
          <w:rFonts w:hint="eastAsia" w:ascii="仿宋" w:hAnsi="仿宋" w:eastAsia="仿宋" w:cs="宋体"/>
          <w:sz w:val="28"/>
          <w:szCs w:val="28"/>
        </w:rPr>
        <w:t xml:space="preserve">西安市数据局 </w:t>
      </w:r>
    </w:p>
    <w:p w14:paraId="1B5A3BD5">
      <w:pPr>
        <w:widowControl/>
        <w:adjustRightInd w:val="0"/>
        <w:snapToGrid w:val="0"/>
        <w:spacing w:line="360" w:lineRule="auto"/>
        <w:ind w:firstLine="562" w:firstLineChars="200"/>
        <w:textAlignment w:val="baseline"/>
        <w:rPr>
          <w:rFonts w:ascii="仿宋" w:hAnsi="仿宋" w:eastAsia="仿宋" w:cs="宋体"/>
          <w:sz w:val="28"/>
          <w:szCs w:val="28"/>
        </w:rPr>
      </w:pPr>
      <w:r>
        <w:rPr>
          <w:rFonts w:hint="eastAsia" w:ascii="仿宋" w:hAnsi="仿宋" w:eastAsia="仿宋" w:cs="宋体"/>
          <w:b/>
          <w:bCs/>
          <w:sz w:val="28"/>
          <w:szCs w:val="28"/>
        </w:rPr>
        <w:t>乙方：</w:t>
      </w:r>
      <w:r>
        <w:rPr>
          <w:rFonts w:hint="eastAsia" w:ascii="仿宋" w:hAnsi="仿宋" w:eastAsia="仿宋" w:cs="宋体"/>
          <w:b/>
          <w:bCs/>
          <w:sz w:val="28"/>
          <w:szCs w:val="28"/>
          <w:u w:val="single"/>
          <w:lang w:val="en-US" w:eastAsia="zh-CN"/>
        </w:rPr>
        <w:t xml:space="preserve">                    </w:t>
      </w:r>
      <w:r>
        <w:rPr>
          <w:rFonts w:hint="eastAsia" w:ascii="仿宋" w:hAnsi="仿宋" w:eastAsia="仿宋" w:cs="宋体"/>
          <w:sz w:val="28"/>
          <w:szCs w:val="28"/>
        </w:rPr>
        <w:t xml:space="preserve">  </w:t>
      </w:r>
    </w:p>
    <w:p w14:paraId="3B7BB5A6">
      <w:pPr>
        <w:widowControl/>
        <w:adjustRightInd w:val="0"/>
        <w:snapToGrid w:val="0"/>
        <w:spacing w:line="360" w:lineRule="auto"/>
        <w:ind w:firstLine="480" w:firstLineChars="200"/>
        <w:textAlignment w:val="baseline"/>
        <w:rPr>
          <w:rFonts w:ascii="宋体" w:hAnsi="宋体" w:eastAsia="宋体" w:cs="宋体"/>
          <w:sz w:val="24"/>
        </w:rPr>
      </w:pPr>
    </w:p>
    <w:p w14:paraId="497A5A1F">
      <w:pPr>
        <w:keepNext w:val="0"/>
        <w:keepLines w:val="0"/>
        <w:pageBreakBefore w:val="0"/>
        <w:widowControl/>
        <w:kinsoku/>
        <w:wordWrap/>
        <w:overflowPunct/>
        <w:topLinePunct w:val="0"/>
        <w:bidi w:val="0"/>
        <w:adjustRightInd w:val="0"/>
        <w:snapToGrid w:val="0"/>
        <w:spacing w:line="560" w:lineRule="exact"/>
        <w:ind w:firstLine="560" w:firstLineChars="200"/>
        <w:textAlignment w:val="baseline"/>
        <w:rPr>
          <w:rFonts w:ascii="仿宋" w:hAnsi="仿宋" w:eastAsia="仿宋" w:cs="宋体"/>
          <w:sz w:val="28"/>
          <w:szCs w:val="28"/>
        </w:rPr>
      </w:pPr>
      <w:r>
        <w:rPr>
          <w:rFonts w:hint="eastAsia" w:ascii="仿宋" w:hAnsi="仿宋" w:eastAsia="仿宋" w:cs="仿宋"/>
          <w:sz w:val="28"/>
          <w:szCs w:val="28"/>
        </w:rPr>
        <w:t>为做好</w:t>
      </w:r>
      <w:r>
        <w:rPr>
          <w:rFonts w:hint="eastAsia" w:ascii="仿宋" w:hAnsi="仿宋" w:eastAsia="仿宋" w:cs="宋体"/>
          <w:b/>
          <w:bCs/>
          <w:sz w:val="28"/>
          <w:szCs w:val="28"/>
          <w:u w:val="single"/>
          <w:lang w:val="en-US" w:eastAsia="zh-CN"/>
        </w:rPr>
        <w:t xml:space="preserve">                    </w:t>
      </w:r>
      <w:r>
        <w:rPr>
          <w:rFonts w:hint="eastAsia" w:ascii="仿宋" w:hAnsi="仿宋" w:eastAsia="仿宋" w:cs="仿宋"/>
          <w:sz w:val="28"/>
          <w:szCs w:val="28"/>
        </w:rPr>
        <w:t>工作，在西安市财政局政府采购管理处的监督管理下，按照政府采购程序组织</w:t>
      </w:r>
      <w:r>
        <w:rPr>
          <w:rFonts w:hint="eastAsia" w:ascii="仿宋" w:hAnsi="仿宋" w:eastAsia="仿宋" w:cs="宋体"/>
          <w:b/>
          <w:bCs/>
          <w:sz w:val="28"/>
          <w:szCs w:val="28"/>
          <w:u w:val="single"/>
          <w:lang w:val="en-US" w:eastAsia="zh-CN"/>
        </w:rPr>
        <w:t xml:space="preserve">       </w:t>
      </w:r>
      <w:r>
        <w:rPr>
          <w:rFonts w:hint="eastAsia" w:ascii="仿宋" w:hAnsi="仿宋" w:eastAsia="仿宋" w:cs="仿宋"/>
          <w:sz w:val="28"/>
          <w:szCs w:val="28"/>
        </w:rPr>
        <w:t>，确定乙方为</w:t>
      </w:r>
      <w:r>
        <w:rPr>
          <w:rFonts w:hint="eastAsia" w:ascii="仿宋" w:hAnsi="仿宋" w:eastAsia="仿宋" w:cs="仿宋"/>
          <w:sz w:val="28"/>
          <w:szCs w:val="28"/>
          <w:u w:val="single"/>
        </w:rPr>
        <w:t xml:space="preserve">        （项目名称）          </w:t>
      </w:r>
      <w:r>
        <w:rPr>
          <w:rFonts w:hint="eastAsia" w:ascii="仿宋" w:hAnsi="仿宋" w:eastAsia="仿宋" w:cs="仿宋"/>
          <w:sz w:val="28"/>
          <w:szCs w:val="28"/>
          <w:u w:val="single"/>
          <w:lang w:val="zh-CN"/>
        </w:rPr>
        <w:t>(项目</w:t>
      </w:r>
      <w:r>
        <w:rPr>
          <w:rFonts w:hint="eastAsia" w:ascii="仿宋" w:hAnsi="仿宋" w:eastAsia="仿宋" w:cs="仿宋"/>
          <w:sz w:val="28"/>
          <w:szCs w:val="28"/>
          <w:u w:val="single"/>
        </w:rPr>
        <w:t>编号：    )</w:t>
      </w:r>
      <w:r>
        <w:rPr>
          <w:rFonts w:hint="eastAsia" w:ascii="仿宋" w:hAnsi="仿宋" w:eastAsia="仿宋" w:cs="仿宋"/>
          <w:sz w:val="28"/>
          <w:szCs w:val="28"/>
        </w:rPr>
        <w:t>成交供应商。依据《中华人民共和国民法典》和《中华人民共和国政府采购法》，以及采购文件、成交通知书，经甲、乙双方协商，达成如下合同条款。</w:t>
      </w:r>
    </w:p>
    <w:p w14:paraId="360929CC">
      <w:pPr>
        <w:keepNext w:val="0"/>
        <w:keepLines w:val="0"/>
        <w:pageBreakBefore w:val="0"/>
        <w:widowControl/>
        <w:kinsoku/>
        <w:wordWrap/>
        <w:overflowPunct/>
        <w:topLinePunct w:val="0"/>
        <w:bidi w:val="0"/>
        <w:adjustRightInd w:val="0"/>
        <w:snapToGrid w:val="0"/>
        <w:spacing w:line="560" w:lineRule="exact"/>
        <w:ind w:firstLine="643" w:firstLineChars="200"/>
        <w:textAlignment w:val="baseline"/>
        <w:outlineLvl w:val="0"/>
        <w:rPr>
          <w:rFonts w:ascii="黑体" w:hAnsi="黑体" w:eastAsia="黑体" w:cs="宋体"/>
          <w:b/>
          <w:sz w:val="32"/>
          <w:szCs w:val="32"/>
        </w:rPr>
      </w:pPr>
      <w:r>
        <w:rPr>
          <w:rFonts w:hint="eastAsia" w:ascii="黑体" w:hAnsi="黑体" w:eastAsia="黑体" w:cs="宋体"/>
          <w:b/>
          <w:sz w:val="32"/>
          <w:szCs w:val="32"/>
        </w:rPr>
        <w:t>一、</w:t>
      </w:r>
      <w:r>
        <w:rPr>
          <w:rFonts w:hint="eastAsia" w:ascii="黑体" w:hAnsi="黑体" w:eastAsia="黑体" w:cs="宋体"/>
          <w:b/>
          <w:sz w:val="32"/>
          <w:szCs w:val="32"/>
          <w:lang w:eastAsia="zh-CN"/>
        </w:rPr>
        <w:t>服务</w:t>
      </w:r>
      <w:r>
        <w:rPr>
          <w:rFonts w:hint="eastAsia" w:ascii="黑体" w:hAnsi="黑体" w:eastAsia="黑体" w:cs="宋体"/>
          <w:b/>
          <w:sz w:val="32"/>
          <w:szCs w:val="32"/>
        </w:rPr>
        <w:t>事项</w:t>
      </w:r>
    </w:p>
    <w:p w14:paraId="5C1FEAC4">
      <w:pPr>
        <w:keepNext w:val="0"/>
        <w:keepLines w:val="0"/>
        <w:pageBreakBefore w:val="0"/>
        <w:widowControl/>
        <w:kinsoku/>
        <w:wordWrap/>
        <w:overflowPunct/>
        <w:topLinePunct w:val="0"/>
        <w:autoSpaceDE w:val="0"/>
        <w:autoSpaceDN w:val="0"/>
        <w:bidi w:val="0"/>
        <w:adjustRightInd w:val="0"/>
        <w:snapToGrid w:val="0"/>
        <w:spacing w:line="560" w:lineRule="exact"/>
        <w:ind w:firstLine="562" w:firstLineChars="200"/>
        <w:textAlignment w:val="baseline"/>
        <w:rPr>
          <w:rFonts w:hint="eastAsia" w:ascii="仿宋" w:hAnsi="仿宋" w:eastAsia="仿宋" w:cs="仿宋"/>
          <w:b/>
          <w:bCs w:val="0"/>
          <w:kern w:val="2"/>
          <w:sz w:val="28"/>
          <w:szCs w:val="28"/>
          <w:lang w:val="en-US" w:eastAsia="zh-CN" w:bidi="ar-SA"/>
        </w:rPr>
      </w:pPr>
      <w:r>
        <w:rPr>
          <w:rFonts w:hint="eastAsia" w:ascii="仿宋" w:hAnsi="仿宋" w:eastAsia="仿宋" w:cs="仿宋"/>
          <w:b/>
          <w:bCs w:val="0"/>
          <w:kern w:val="2"/>
          <w:sz w:val="28"/>
          <w:szCs w:val="28"/>
          <w:lang w:val="en-US" w:eastAsia="zh-CN" w:bidi="ar-SA"/>
        </w:rPr>
        <w:t>（一）评审事项</w:t>
      </w:r>
    </w:p>
    <w:p w14:paraId="32211CF8">
      <w:pPr>
        <w:keepNext w:val="0"/>
        <w:keepLines w:val="0"/>
        <w:pageBreakBefore w:val="0"/>
        <w:tabs>
          <w:tab w:val="left" w:pos="8845"/>
        </w:tabs>
        <w:kinsoku/>
        <w:wordWrap/>
        <w:overflowPunct/>
        <w:topLinePunct w:val="0"/>
        <w:bidi w:val="0"/>
        <w:spacing w:before="185" w:line="560" w:lineRule="exact"/>
        <w:ind w:left="6" w:leftChars="3" w:right="148" w:firstLine="480" w:firstLineChars="200"/>
        <w:rPr>
          <w:rFonts w:ascii="仿宋" w:hAnsi="仿宋" w:eastAsia="仿宋" w:cs="宋体"/>
          <w:sz w:val="28"/>
          <w:szCs w:val="28"/>
          <w:u w:val="single"/>
        </w:rPr>
      </w:pPr>
      <w:r>
        <w:rPr>
          <w:rFonts w:hint="eastAsia" w:ascii="宋体" w:hAnsi="宋体" w:eastAsia="宋体" w:cs="宋体"/>
          <w:sz w:val="24"/>
          <w:u w:val="single"/>
          <w:lang w:bidi="ar"/>
        </w:rPr>
        <w:t xml:space="preserve"> </w:t>
      </w:r>
      <w:r>
        <w:rPr>
          <w:rFonts w:hint="eastAsia" w:ascii="宋体" w:hAnsi="宋体" w:eastAsia="宋体" w:cs="宋体"/>
          <w:sz w:val="28"/>
          <w:szCs w:val="28"/>
          <w:u w:val="single"/>
          <w:lang w:bidi="ar"/>
        </w:rPr>
        <w:t xml:space="preserve">                                                  </w:t>
      </w:r>
    </w:p>
    <w:p w14:paraId="0B607C35">
      <w:pPr>
        <w:pStyle w:val="10"/>
        <w:keepNext w:val="0"/>
        <w:keepLines w:val="0"/>
        <w:pageBreakBefore w:val="0"/>
        <w:numPr>
          <w:ilvl w:val="0"/>
          <w:numId w:val="0"/>
        </w:numPr>
        <w:kinsoku/>
        <w:wordWrap/>
        <w:overflowPunct/>
        <w:topLinePunct w:val="0"/>
        <w:bidi w:val="0"/>
        <w:spacing w:afterAutospacing="0" w:line="560" w:lineRule="exact"/>
        <w:ind w:left="562" w:leftChars="0"/>
        <w:rPr>
          <w:b/>
          <w:bCs w:val="0"/>
        </w:rPr>
      </w:pPr>
      <w:r>
        <w:rPr>
          <w:rFonts w:hint="eastAsia"/>
          <w:b/>
          <w:bCs w:val="0"/>
          <w:lang w:eastAsia="zh-CN"/>
        </w:rPr>
        <w:t>（二）</w:t>
      </w:r>
      <w:r>
        <w:rPr>
          <w:rFonts w:hint="eastAsia"/>
          <w:b/>
          <w:bCs w:val="0"/>
        </w:rPr>
        <w:t>评审要求</w:t>
      </w:r>
    </w:p>
    <w:p w14:paraId="7713AACB">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w:t>
      </w:r>
      <w:r>
        <w:rPr>
          <w:rFonts w:hint="eastAsia" w:ascii="仿宋" w:hAnsi="仿宋" w:eastAsia="仿宋" w:cs="宋体"/>
          <w:sz w:val="28"/>
          <w:szCs w:val="28"/>
          <w:lang w:val="en-US" w:eastAsia="zh-CN"/>
        </w:rPr>
        <w:t>评审依据：</w:t>
      </w:r>
      <w:r>
        <w:rPr>
          <w:rFonts w:hint="eastAsia" w:ascii="仿宋" w:hAnsi="仿宋" w:eastAsia="仿宋" w:cs="宋体"/>
          <w:sz w:val="28"/>
          <w:szCs w:val="28"/>
        </w:rPr>
        <w:t xml:space="preserve">                                          </w:t>
      </w:r>
    </w:p>
    <w:p w14:paraId="33EB33A7">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w:t>
      </w:r>
      <w:r>
        <w:rPr>
          <w:rFonts w:hint="eastAsia" w:ascii="仿宋" w:hAnsi="仿宋" w:eastAsia="仿宋" w:cs="宋体"/>
          <w:sz w:val="28"/>
          <w:szCs w:val="28"/>
          <w:lang w:val="en-US" w:eastAsia="zh-CN"/>
        </w:rPr>
        <w:t>评审内容及范围：</w:t>
      </w:r>
      <w:r>
        <w:rPr>
          <w:rFonts w:hint="eastAsia" w:ascii="仿宋" w:hAnsi="仿宋" w:eastAsia="仿宋" w:cs="宋体"/>
          <w:sz w:val="28"/>
          <w:szCs w:val="28"/>
        </w:rPr>
        <w:t xml:space="preserve">                                      </w:t>
      </w:r>
    </w:p>
    <w:p w14:paraId="2D9983D9">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hint="eastAsia" w:ascii="仿宋" w:hAnsi="仿宋" w:eastAsia="仿宋" w:cs="宋体"/>
          <w:sz w:val="28"/>
          <w:szCs w:val="28"/>
        </w:rPr>
      </w:pPr>
      <w:r>
        <w:rPr>
          <w:rFonts w:hint="eastAsia" w:ascii="仿宋" w:hAnsi="仿宋" w:eastAsia="仿宋" w:cs="宋体"/>
          <w:sz w:val="28"/>
          <w:szCs w:val="28"/>
        </w:rPr>
        <w:t>3.</w:t>
      </w:r>
      <w:r>
        <w:rPr>
          <w:rFonts w:hint="eastAsia" w:ascii="仿宋" w:hAnsi="仿宋" w:eastAsia="仿宋" w:cs="宋体"/>
          <w:sz w:val="28"/>
          <w:szCs w:val="28"/>
          <w:lang w:val="en-US" w:eastAsia="zh-CN"/>
        </w:rPr>
        <w:t>评审人员：</w:t>
      </w:r>
      <w:r>
        <w:rPr>
          <w:rFonts w:hint="eastAsia" w:ascii="仿宋" w:hAnsi="仿宋" w:eastAsia="仿宋" w:cs="宋体"/>
          <w:sz w:val="28"/>
          <w:szCs w:val="28"/>
        </w:rPr>
        <w:t xml:space="preserve">乙方指派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lang w:val="en-US" w:eastAsia="zh-CN"/>
        </w:rPr>
        <w:t xml:space="preserve"> </w:t>
      </w:r>
      <w:r>
        <w:rPr>
          <w:rFonts w:hint="eastAsia" w:ascii="仿宋" w:hAnsi="仿宋" w:eastAsia="仿宋" w:cs="宋体"/>
          <w:sz w:val="28"/>
          <w:szCs w:val="28"/>
        </w:rPr>
        <w:t xml:space="preserve">等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人组成工作小组，其中，</w:t>
      </w:r>
      <w:r>
        <w:rPr>
          <w:rFonts w:hint="eastAsia" w:ascii="仿宋" w:hAnsi="仿宋" w:eastAsia="仿宋" w:cs="宋体"/>
          <w:sz w:val="28"/>
          <w:szCs w:val="28"/>
          <w:lang w:val="en-US" w:eastAsia="zh-CN"/>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（职称、资质）不少于</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人。</w:t>
      </w:r>
    </w:p>
    <w:p w14:paraId="0999D05F">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lang w:val="en-US" w:eastAsia="zh-CN"/>
        </w:rPr>
        <w:t xml:space="preserve">4.其他要求：                                                     </w:t>
      </w:r>
    </w:p>
    <w:p w14:paraId="141FFD05">
      <w:pPr>
        <w:keepNext w:val="0"/>
        <w:keepLines w:val="0"/>
        <w:pageBreakBefore w:val="0"/>
        <w:widowControl/>
        <w:kinsoku/>
        <w:wordWrap/>
        <w:overflowPunct/>
        <w:topLinePunct w:val="0"/>
        <w:bidi w:val="0"/>
        <w:adjustRightInd w:val="0"/>
        <w:snapToGrid w:val="0"/>
        <w:spacing w:afterAutospacing="0" w:line="560" w:lineRule="exact"/>
        <w:ind w:firstLine="562" w:firstLineChars="200"/>
        <w:textAlignment w:val="baseline"/>
        <w:outlineLvl w:val="0"/>
        <w:rPr>
          <w:rFonts w:ascii="黑体" w:hAnsi="黑体" w:eastAsia="黑体" w:cs="宋体"/>
          <w:b/>
          <w:sz w:val="28"/>
          <w:szCs w:val="28"/>
        </w:rPr>
      </w:pPr>
      <w:r>
        <w:rPr>
          <w:rFonts w:hint="eastAsia" w:ascii="黑体" w:hAnsi="黑体" w:eastAsia="黑体" w:cs="宋体"/>
          <w:b/>
          <w:sz w:val="28"/>
          <w:szCs w:val="28"/>
        </w:rPr>
        <w:t>二、合同价款</w:t>
      </w:r>
    </w:p>
    <w:p w14:paraId="7F2DEF36">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1.合同金额（大写）：</w:t>
      </w:r>
      <w:r>
        <w:rPr>
          <w:rFonts w:hint="eastAsia" w:asciiTheme="majorEastAsia" w:hAnsiTheme="majorEastAsia" w:eastAsiaTheme="majorEastAsia" w:cstheme="majorEastAsia"/>
          <w:sz w:val="28"/>
          <w:szCs w:val="28"/>
          <w:u w:val="single"/>
        </w:rPr>
        <w:t xml:space="preserve">                   （¥：      ）</w:t>
      </w:r>
      <w:r>
        <w:rPr>
          <w:rFonts w:hint="eastAsia" w:ascii="仿宋" w:hAnsi="仿宋" w:eastAsia="仿宋" w:cs="宋体"/>
          <w:sz w:val="28"/>
          <w:szCs w:val="28"/>
        </w:rPr>
        <w:t>。</w:t>
      </w:r>
    </w:p>
    <w:p w14:paraId="0D32C020">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2.合同总价即中标价，为一次性报价，不受市场价变化或实际工作量变化的影响。合同价款为完成本项目所需的资料费、差旅费、耗材器材费、会议费、专家咨询费、成果评审费、税费及其他相关的一切费用。</w:t>
      </w:r>
    </w:p>
    <w:p w14:paraId="5B31A02A">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三、付款方式</w:t>
      </w:r>
    </w:p>
    <w:p w14:paraId="7C0A7C82">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（一）分期付款</w:t>
      </w:r>
    </w:p>
    <w:p w14:paraId="73B4CDF8">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1.合同签订后，待2026年度信息化专项资金预算下达，达到付款条件起 20 日内，甲方向乙方支付合同价款</w:t>
      </w:r>
      <w:r>
        <w:rPr>
          <w:rFonts w:hint="eastAsia" w:ascii="仿宋" w:hAnsi="仿宋" w:eastAsia="仿宋" w:cs="宋体"/>
          <w:sz w:val="28"/>
          <w:szCs w:val="28"/>
          <w:u w:val="single"/>
        </w:rPr>
        <w:t>40</w:t>
      </w:r>
      <w:r>
        <w:rPr>
          <w:rFonts w:hint="eastAsia" w:ascii="仿宋" w:hAnsi="仿宋" w:eastAsia="仿宋" w:cs="宋体"/>
          <w:sz w:val="28"/>
          <w:szCs w:val="28"/>
        </w:rPr>
        <w:t>%，为（大写）：</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r>
        <w:rPr>
          <w:rFonts w:hint="eastAsia" w:ascii="宋体" w:hAnsi="宋体" w:eastAsia="宋体" w:cs="宋体"/>
          <w:sz w:val="28"/>
          <w:szCs w:val="28"/>
        </w:rPr>
        <w:t>¥</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p>
    <w:p w14:paraId="730E86D6">
      <w:pPr>
        <w:keepNext w:val="0"/>
        <w:keepLines w:val="0"/>
        <w:pageBreakBefore w:val="0"/>
        <w:widowControl/>
        <w:kinsoku/>
        <w:wordWrap/>
        <w:overflowPunct/>
        <w:topLinePunct w:val="0"/>
        <w:autoSpaceDE w:val="0"/>
        <w:autoSpaceDN w:val="0"/>
        <w:bidi w:val="0"/>
        <w:adjustRightInd w:val="0"/>
        <w:snapToGrid w:val="0"/>
        <w:spacing w:afterAutospacing="0" w:line="560" w:lineRule="exact"/>
        <w:ind w:firstLine="560" w:firstLineChars="200"/>
        <w:textAlignment w:val="baseline"/>
        <w:rPr>
          <w:rFonts w:ascii="仿宋" w:hAnsi="仿宋" w:eastAsia="仿宋" w:cs="宋体"/>
          <w:sz w:val="28"/>
          <w:szCs w:val="28"/>
          <w:u w:val="single"/>
        </w:rPr>
      </w:pPr>
      <w:r>
        <w:rPr>
          <w:rFonts w:hint="eastAsia" w:ascii="仿宋" w:hAnsi="仿宋" w:eastAsia="仿宋" w:cs="宋体"/>
          <w:sz w:val="28"/>
          <w:szCs w:val="28"/>
        </w:rPr>
        <w:t>2.</w:t>
      </w:r>
      <w:r>
        <w:rPr>
          <w:rFonts w:hint="eastAsia" w:ascii="仿宋" w:hAnsi="仿宋" w:eastAsia="仿宋" w:cs="宋体"/>
          <w:sz w:val="28"/>
          <w:szCs w:val="28"/>
          <w:u w:val="single"/>
        </w:rPr>
        <w:t>合同执行完毕</w:t>
      </w:r>
      <w:r>
        <w:rPr>
          <w:rFonts w:hint="eastAsia" w:ascii="仿宋" w:hAnsi="仿宋" w:eastAsia="仿宋" w:cs="宋体"/>
          <w:sz w:val="28"/>
          <w:szCs w:val="28"/>
          <w:u w:val="single"/>
          <w:lang w:val="en-US" w:eastAsia="zh-CN"/>
        </w:rPr>
        <w:t>并验收合格</w:t>
      </w:r>
      <w:r>
        <w:rPr>
          <w:rFonts w:hint="eastAsia" w:ascii="仿宋" w:hAnsi="仿宋" w:eastAsia="仿宋" w:cs="宋体"/>
          <w:sz w:val="28"/>
          <w:szCs w:val="28"/>
          <w:u w:val="single"/>
        </w:rPr>
        <w:t>后，</w:t>
      </w:r>
      <w:r>
        <w:rPr>
          <w:rFonts w:hint="eastAsia" w:ascii="仿宋" w:hAnsi="仿宋" w:eastAsia="仿宋" w:cs="宋体"/>
          <w:sz w:val="28"/>
          <w:szCs w:val="28"/>
          <w:u w:val="single"/>
          <w:lang w:val="en-US" w:eastAsia="zh-CN"/>
        </w:rPr>
        <w:t>依据《陕西省执行政府指导价的工程造价咨询服务收费项目和标准》，结合实际工作量对剩余60%款项进行结算。结算时，项目应付款总额的10%需根据服务绩效考核结果确定最终支付金额。实际工作量满足项目需求且绩效考核得分为90分及以上，达到付款条件起 20 日内，支付合同总金额的 60.00%。</w:t>
      </w:r>
    </w:p>
    <w:p w14:paraId="6072F774">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（二）支付方式：银行转账。乙方指定收款银行账户如下：</w:t>
      </w:r>
    </w:p>
    <w:p w14:paraId="639A07FE">
      <w:pPr>
        <w:widowControl/>
        <w:autoSpaceDE w:val="0"/>
        <w:autoSpaceDN w:val="0"/>
        <w:adjustRightInd w:val="0"/>
        <w:snapToGrid w:val="0"/>
        <w:spacing w:line="360" w:lineRule="auto"/>
        <w:ind w:firstLine="560" w:firstLineChars="200"/>
        <w:textAlignment w:val="baseline"/>
        <w:rPr>
          <w:rFonts w:hint="default" w:ascii="仿宋" w:hAnsi="仿宋" w:eastAsia="仿宋" w:cs="宋体"/>
          <w:sz w:val="28"/>
          <w:szCs w:val="28"/>
          <w:u w:val="single"/>
          <w:lang w:val="en-US" w:eastAsia="zh-CN"/>
        </w:rPr>
      </w:pPr>
      <w:r>
        <w:rPr>
          <w:rFonts w:hint="eastAsia" w:ascii="仿宋" w:hAnsi="仿宋" w:eastAsia="仿宋" w:cs="宋体"/>
          <w:sz w:val="28"/>
          <w:szCs w:val="28"/>
        </w:rPr>
        <w:t>开户银行：</w:t>
      </w:r>
      <w:r>
        <w:rPr>
          <w:rFonts w:hint="eastAsia" w:ascii="仿宋" w:hAnsi="仿宋" w:eastAsia="仿宋" w:cs="宋体"/>
          <w:sz w:val="28"/>
          <w:szCs w:val="28"/>
          <w:u w:val="single"/>
          <w:lang w:val="en-US" w:eastAsia="zh-CN"/>
        </w:rPr>
        <w:t xml:space="preserve">                </w:t>
      </w:r>
    </w:p>
    <w:p w14:paraId="49FB8046">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开户账号：</w:t>
      </w:r>
      <w:r>
        <w:rPr>
          <w:rFonts w:hint="eastAsia" w:ascii="仿宋" w:hAnsi="仿宋" w:eastAsia="仿宋" w:cs="宋体"/>
          <w:sz w:val="28"/>
          <w:szCs w:val="28"/>
          <w:u w:val="single"/>
          <w:lang w:val="en-US" w:eastAsia="zh-CN"/>
        </w:rPr>
        <w:t xml:space="preserve">              </w:t>
      </w:r>
    </w:p>
    <w:p w14:paraId="3CD600B6">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开户人：</w:t>
      </w:r>
      <w:r>
        <w:rPr>
          <w:rFonts w:hint="eastAsia" w:ascii="仿宋" w:hAnsi="仿宋" w:eastAsia="仿宋" w:cs="宋体"/>
          <w:sz w:val="28"/>
          <w:szCs w:val="28"/>
          <w:u w:val="single"/>
          <w:lang w:val="en-US" w:eastAsia="zh-CN"/>
        </w:rPr>
        <w:t xml:space="preserve">              </w:t>
      </w:r>
    </w:p>
    <w:p w14:paraId="62031238">
      <w:pPr>
        <w:widowControl/>
        <w:autoSpaceDE w:val="0"/>
        <w:autoSpaceDN w:val="0"/>
        <w:adjustRightInd w:val="0"/>
        <w:snapToGrid w:val="0"/>
        <w:spacing w:line="360" w:lineRule="auto"/>
        <w:ind w:firstLine="560" w:firstLineChars="200"/>
        <w:textAlignment w:val="baseline"/>
        <w:rPr>
          <w:rFonts w:ascii="宋体" w:hAnsi="宋体" w:eastAsia="宋体" w:cs="宋体"/>
          <w:sz w:val="24"/>
        </w:rPr>
      </w:pPr>
      <w:r>
        <w:rPr>
          <w:rFonts w:hint="eastAsia" w:ascii="仿宋" w:hAnsi="仿宋" w:eastAsia="仿宋" w:cs="宋体"/>
          <w:sz w:val="28"/>
          <w:szCs w:val="28"/>
        </w:rPr>
        <w:t>（三）结算方式：由甲方负责结算，乙方在接受付款前，开具全额发票给甲方。</w:t>
      </w:r>
    </w:p>
    <w:p w14:paraId="6073DC6C">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四、服务期限</w:t>
      </w:r>
    </w:p>
    <w:p w14:paraId="1A92F65E">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服务期限为</w:t>
      </w:r>
      <w:r>
        <w:rPr>
          <w:rFonts w:hint="eastAsia" w:ascii="仿宋" w:hAnsi="仿宋" w:eastAsia="仿宋" w:cs="仿宋"/>
          <w:spacing w:val="4"/>
          <w:sz w:val="28"/>
          <w:szCs w:val="28"/>
          <w:u w:val="single"/>
        </w:rPr>
        <w:t>自合同签订之日起一年</w:t>
      </w:r>
      <w:r>
        <w:rPr>
          <w:rFonts w:hint="eastAsia" w:ascii="仿宋" w:hAnsi="仿宋" w:eastAsia="仿宋" w:cs="宋体"/>
          <w:bCs/>
          <w:sz w:val="28"/>
          <w:szCs w:val="28"/>
        </w:rPr>
        <w:t>。</w:t>
      </w:r>
    </w:p>
    <w:p w14:paraId="262F792B">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如服务周期内项目咨询服务内容未交付的，服务期限延长至项目服务完结，甲方验收通过之日止。</w:t>
      </w:r>
    </w:p>
    <w:p w14:paraId="217FF31E">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五、双方权利义务</w:t>
      </w:r>
    </w:p>
    <w:p w14:paraId="36E1664D">
      <w:pPr>
        <w:widowControl/>
        <w:adjustRightInd w:val="0"/>
        <w:snapToGrid w:val="0"/>
        <w:spacing w:line="360" w:lineRule="auto"/>
        <w:ind w:firstLine="562" w:firstLineChars="200"/>
        <w:textAlignment w:val="baseline"/>
        <w:outlineLvl w:val="0"/>
        <w:rPr>
          <w:rFonts w:ascii="仿宋" w:hAnsi="仿宋" w:eastAsia="仿宋" w:cs="宋体"/>
          <w:b/>
          <w:bCs/>
          <w:sz w:val="28"/>
          <w:szCs w:val="28"/>
        </w:rPr>
      </w:pPr>
      <w:r>
        <w:rPr>
          <w:rFonts w:hint="eastAsia" w:ascii="仿宋" w:hAnsi="仿宋" w:eastAsia="仿宋" w:cs="宋体"/>
          <w:b/>
          <w:bCs/>
          <w:sz w:val="28"/>
          <w:szCs w:val="28"/>
        </w:rPr>
        <w:t>（一）甲方的权利义务</w:t>
      </w:r>
    </w:p>
    <w:p w14:paraId="2B71CFF7">
      <w:pPr>
        <w:widowControl/>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1.甲方有权向乙方询问工作进展情况及相关的内容。甲方有权阐述对具体问题的意见和建议。</w:t>
      </w:r>
    </w:p>
    <w:p w14:paraId="03CF964F">
      <w:pPr>
        <w:widowControl/>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2.当甲方认定专业人员不按合同履行其职责，或与第三人串通给甲方造成经济损失的，甲方有权要求更换专业人员，直至终止合同并要求乙方承担相应的赔偿责任。</w:t>
      </w:r>
    </w:p>
    <w:p w14:paraId="5D645B9C">
      <w:pPr>
        <w:widowControl/>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3.甲方应当授权胜任本项目的代表</w:t>
      </w:r>
      <w:r>
        <w:rPr>
          <w:rFonts w:hint="eastAsia" w:ascii="仿宋" w:hAnsi="仿宋" w:eastAsia="仿宋" w:cs="仿宋"/>
          <w:sz w:val="28"/>
          <w:szCs w:val="28"/>
        </w:rPr>
        <w:t>（联系人</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及邮箱</w:t>
      </w:r>
      <w:r>
        <w:rPr>
          <w:rFonts w:hint="eastAsia" w:ascii="仿宋" w:hAnsi="仿宋" w:eastAsia="仿宋" w:cs="仿宋"/>
          <w:sz w:val="28"/>
          <w:szCs w:val="28"/>
          <w:lang w:val="en-US" w:eastAsia="zh-CN"/>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r>
        <w:rPr>
          <w:rFonts w:hint="eastAsia" w:ascii="仿宋" w:hAnsi="仿宋" w:eastAsia="仿宋" w:cs="宋体"/>
          <w:sz w:val="28"/>
          <w:szCs w:val="28"/>
        </w:rPr>
        <w:t>，负责与乙方联系。</w:t>
      </w:r>
    </w:p>
    <w:p w14:paraId="7FB27248">
      <w:pPr>
        <w:widowControl/>
        <w:adjustRightInd w:val="0"/>
        <w:snapToGrid w:val="0"/>
        <w:spacing w:line="360" w:lineRule="auto"/>
        <w:ind w:firstLine="562" w:firstLineChars="200"/>
        <w:textAlignment w:val="baseline"/>
        <w:rPr>
          <w:rFonts w:ascii="仿宋" w:hAnsi="仿宋" w:eastAsia="仿宋" w:cs="宋体"/>
          <w:b/>
          <w:sz w:val="28"/>
          <w:szCs w:val="28"/>
        </w:rPr>
      </w:pPr>
      <w:r>
        <w:rPr>
          <w:rFonts w:hint="eastAsia" w:ascii="仿宋" w:hAnsi="仿宋" w:eastAsia="仿宋" w:cs="宋体"/>
          <w:b/>
          <w:sz w:val="28"/>
          <w:szCs w:val="28"/>
        </w:rPr>
        <w:t>（二）乙方权利义务</w:t>
      </w:r>
    </w:p>
    <w:p w14:paraId="2215981A">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sz w:val="28"/>
          <w:szCs w:val="28"/>
        </w:rPr>
        <w:t>1.</w:t>
      </w:r>
      <w:r>
        <w:rPr>
          <w:rFonts w:hint="eastAsia" w:ascii="仿宋" w:hAnsi="仿宋" w:eastAsia="仿宋" w:cs="宋体"/>
          <w:bCs/>
          <w:sz w:val="28"/>
          <w:szCs w:val="28"/>
        </w:rPr>
        <w:t>乙方在服务过程中，如甲方提供的资料不明确时可向甲方提出书面报告。</w:t>
      </w:r>
    </w:p>
    <w:p w14:paraId="6FED5D8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2.乙方在服务过程中，应当对</w:t>
      </w:r>
      <w:r>
        <w:rPr>
          <w:rFonts w:hint="eastAsia" w:ascii="仿宋" w:hAnsi="仿宋" w:eastAsia="仿宋" w:cs="宋体"/>
          <w:bCs/>
          <w:sz w:val="28"/>
          <w:szCs w:val="28"/>
          <w:highlight w:val="none"/>
          <w:lang w:val="en-US" w:eastAsia="zh-CN"/>
        </w:rPr>
        <w:t>甲方</w:t>
      </w:r>
      <w:r>
        <w:rPr>
          <w:rFonts w:hint="eastAsia" w:ascii="仿宋" w:hAnsi="仿宋" w:eastAsia="仿宋" w:cs="宋体"/>
          <w:bCs/>
          <w:sz w:val="28"/>
          <w:szCs w:val="28"/>
        </w:rPr>
        <w:t>提出与本项目业务有关的问题进行核对或查问。</w:t>
      </w:r>
    </w:p>
    <w:p w14:paraId="2566CF66">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3.向甲方提供与本项目有关的资料，包括项目人员的资质证书及承担本业务的专业人员名单、工作计划等，并按合同约定的范围实施业务。</w:t>
      </w:r>
    </w:p>
    <w:p w14:paraId="5D16954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4.在项目服务期间，乙方应按照甲方的要求保证及时到项目现场。同时，针对项目出现较大争议的情况，乙方有效提出解决争议的方案。</w:t>
      </w:r>
    </w:p>
    <w:p w14:paraId="14D67A1E">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sz w:val="28"/>
          <w:szCs w:val="28"/>
        </w:rPr>
        <w:t>5.</w:t>
      </w:r>
      <w:r>
        <w:rPr>
          <w:rFonts w:hint="eastAsia" w:ascii="仿宋" w:hAnsi="仿宋" w:eastAsia="仿宋" w:cs="宋体"/>
          <w:bCs/>
          <w:sz w:val="28"/>
          <w:szCs w:val="28"/>
        </w:rPr>
        <w:t>乙方需派一名项目经理</w:t>
      </w:r>
      <w:r>
        <w:rPr>
          <w:rFonts w:hint="eastAsia" w:ascii="仿宋" w:hAnsi="仿宋" w:eastAsia="仿宋" w:cs="宋体"/>
          <w:sz w:val="28"/>
          <w:szCs w:val="28"/>
        </w:rPr>
        <w:t>（联系人姓名</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及邮箱</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w:t>
      </w:r>
      <w:r>
        <w:rPr>
          <w:rFonts w:hint="eastAsia" w:ascii="仿宋" w:hAnsi="仿宋" w:eastAsia="仿宋" w:cs="宋体"/>
          <w:bCs/>
          <w:sz w:val="28"/>
          <w:szCs w:val="28"/>
        </w:rPr>
        <w:t>，直接与甲方沟通，项目经理接收甲方提出的问题与要求，并及时向公司申请调动资源，解决在项目实施过程中遇到的问题。原则上合同期内不能更换项目经理，如遇特殊原因，更换者应具备同等资格条件，并提前三个工作日报甲方同意。</w:t>
      </w:r>
    </w:p>
    <w:p w14:paraId="635196E3">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highlight w:val="none"/>
        </w:rPr>
      </w:pPr>
      <w:r>
        <w:rPr>
          <w:rFonts w:hint="eastAsia" w:ascii="仿宋" w:hAnsi="仿宋" w:eastAsia="仿宋" w:cs="宋体"/>
          <w:sz w:val="28"/>
          <w:szCs w:val="28"/>
          <w:highlight w:val="none"/>
        </w:rPr>
        <w:t>6.</w:t>
      </w:r>
      <w:r>
        <w:rPr>
          <w:rFonts w:hint="eastAsia" w:ascii="仿宋" w:hAnsi="仿宋" w:eastAsia="仿宋" w:cs="宋体"/>
          <w:sz w:val="28"/>
          <w:szCs w:val="28"/>
          <w:highlight w:val="none"/>
          <w:lang w:eastAsia="zh-CN"/>
        </w:rPr>
        <w:t>所</w:t>
      </w:r>
      <w:r>
        <w:rPr>
          <w:rFonts w:hint="eastAsia" w:ascii="仿宋" w:hAnsi="仿宋" w:eastAsia="仿宋" w:cs="宋体"/>
          <w:sz w:val="28"/>
          <w:szCs w:val="28"/>
          <w:highlight w:val="none"/>
        </w:rPr>
        <w:t>供的成果报告必须保证是符合国家相关规定。乙方提供相关成果报告确保客观性、真实性、合法性。乙方应按照执业准则、规则履行审核义务，按照约定时间全面完成审核业务，出具符合甲方要求的书面核查报告，对出具的审核结论的真实性、合法性、准确性负有永久的法律责任</w:t>
      </w:r>
      <w:r>
        <w:rPr>
          <w:rFonts w:hint="eastAsia" w:ascii="仿宋" w:hAnsi="仿宋" w:eastAsia="仿宋" w:cs="宋体"/>
          <w:sz w:val="28"/>
          <w:szCs w:val="28"/>
          <w:highlight w:val="none"/>
          <w:lang w:eastAsia="zh-CN"/>
        </w:rPr>
        <w:t>，</w:t>
      </w:r>
      <w:r>
        <w:rPr>
          <w:rFonts w:hint="eastAsia" w:ascii="仿宋" w:hAnsi="仿宋" w:eastAsia="仿宋" w:cs="宋体"/>
          <w:sz w:val="28"/>
          <w:szCs w:val="28"/>
          <w:highlight w:val="none"/>
        </w:rPr>
        <w:t>保证甲方不会因使用乙方提供的核查报告而承担任何责任。对核查过程中发现的问题应及时、全面的告知甲方，并提出处理建议及依据。</w:t>
      </w:r>
    </w:p>
    <w:p w14:paraId="35F02AB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lang w:val="en-US" w:eastAsia="zh-CN"/>
        </w:rPr>
        <w:t>7</w:t>
      </w:r>
      <w:r>
        <w:rPr>
          <w:rFonts w:hint="eastAsia" w:ascii="仿宋" w:hAnsi="仿宋" w:eastAsia="仿宋" w:cs="宋体"/>
          <w:sz w:val="28"/>
          <w:szCs w:val="28"/>
        </w:rPr>
        <w:t>.乙方提供工作成果不存在侵犯他人知识产权的事宜，若在完成工作成果中需要获取他人资料或许可的，已经过对方同意并支付了相应的服务费。</w:t>
      </w:r>
    </w:p>
    <w:p w14:paraId="534DD3C5">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4"/>
        </w:rPr>
      </w:pPr>
      <w:r>
        <w:rPr>
          <w:rFonts w:hint="eastAsia" w:ascii="仿宋" w:hAnsi="仿宋" w:eastAsia="仿宋" w:cs="宋体"/>
          <w:sz w:val="28"/>
          <w:szCs w:val="28"/>
          <w:lang w:val="en-US" w:eastAsia="zh-CN"/>
        </w:rPr>
        <w:t>8</w:t>
      </w:r>
      <w:r>
        <w:rPr>
          <w:rFonts w:hint="eastAsia" w:ascii="仿宋" w:hAnsi="仿宋" w:eastAsia="仿宋" w:cs="宋体"/>
          <w:sz w:val="28"/>
          <w:szCs w:val="28"/>
        </w:rPr>
        <w:t>.乙方不得转让、分包给其它单位或个人。</w:t>
      </w:r>
    </w:p>
    <w:p w14:paraId="4797E2F1">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六、服务承诺</w:t>
      </w:r>
    </w:p>
    <w:p w14:paraId="253A3BE7">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乙方所供服务必须执行下列条款：</w:t>
      </w:r>
    </w:p>
    <w:p w14:paraId="30A00BAB">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1.服务方案和方式科学、可行，人员配置合理，全面满足要求。</w:t>
      </w:r>
    </w:p>
    <w:p w14:paraId="5C53C7B7">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2.符合国家有关服务规范要求，确保各项服务达到最佳运行效果。</w:t>
      </w:r>
    </w:p>
    <w:p w14:paraId="268EEA66">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3.乙方提供的服务，若发生侵权而产生的一切后果，由乙方负责。甲方保留索赔权力。</w:t>
      </w:r>
    </w:p>
    <w:p w14:paraId="270C57F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4.乙方提供服务必须保持中立地位，不得无故干涉项目单位的日常经营活动。</w:t>
      </w:r>
    </w:p>
    <w:p w14:paraId="384812FF">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七、验收标准</w:t>
      </w:r>
    </w:p>
    <w:p w14:paraId="5B2581D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履约验收：乙方应在约定完成评价日之前10个工作日向甲方提供报告正式稿及相关佐证资料（工作底稿），由甲方组织对工作成果进行审查验收。乙方应全程参加，并按甲方要求进行修改完善评价报告和相关资料，直至满足甲方要求并经甲方审核确认。</w:t>
      </w:r>
    </w:p>
    <w:p w14:paraId="29C06B74">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2.验收标准：</w:t>
      </w:r>
    </w:p>
    <w:p w14:paraId="396B72EA">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（1）乙方所出具的评审报告应遵守应做到内容完整、依据充分、数据真实、逻辑清晰、分析透彻、结果客观、建议可行。</w:t>
      </w:r>
    </w:p>
    <w:p w14:paraId="782A42DE">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乙方按照项目审核服务有关程序要求、工作流程及审核标准开展审核服务工作，在规定时限内完成工作任务，并提交合格的项目审核报告。对报告质量、相关数据和结论的真实性负责，并承担相关保密责任。</w:t>
      </w:r>
    </w:p>
    <w:p w14:paraId="4183881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宋体"/>
          <w:bCs/>
          <w:sz w:val="28"/>
          <w:szCs w:val="28"/>
        </w:rPr>
      </w:pPr>
      <w:r>
        <w:rPr>
          <w:rFonts w:hint="eastAsia" w:ascii="仿宋" w:hAnsi="仿宋" w:eastAsia="仿宋" w:cs="宋体"/>
          <w:bCs/>
          <w:sz w:val="28"/>
          <w:szCs w:val="28"/>
        </w:rPr>
        <w:t>（3）正式的项目服务报告应该包括证明性材料、结论性材料等。</w:t>
      </w:r>
    </w:p>
    <w:p w14:paraId="63B382B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宋体"/>
          <w:bCs/>
          <w:sz w:val="28"/>
          <w:szCs w:val="28"/>
          <w:lang w:val="en-US" w:eastAsia="zh-CN"/>
        </w:rPr>
      </w:pPr>
      <w:r>
        <w:rPr>
          <w:rFonts w:hint="eastAsia" w:ascii="仿宋" w:hAnsi="仿宋" w:eastAsia="仿宋" w:cs="宋体"/>
          <w:bCs/>
          <w:sz w:val="28"/>
          <w:szCs w:val="28"/>
        </w:rPr>
        <w:t>（</w:t>
      </w:r>
      <w:r>
        <w:rPr>
          <w:rFonts w:hint="eastAsia" w:ascii="仿宋" w:hAnsi="仿宋" w:eastAsia="仿宋" w:cs="宋体"/>
          <w:bCs/>
          <w:sz w:val="28"/>
          <w:szCs w:val="28"/>
          <w:lang w:val="en-US" w:eastAsia="zh-CN"/>
        </w:rPr>
        <w:t>4</w:t>
      </w:r>
      <w:r>
        <w:rPr>
          <w:rFonts w:hint="eastAsia" w:ascii="仿宋" w:hAnsi="仿宋" w:eastAsia="仿宋" w:cs="宋体"/>
          <w:bCs/>
          <w:sz w:val="28"/>
          <w:szCs w:val="28"/>
        </w:rPr>
        <w:t>）</w:t>
      </w:r>
      <w:r>
        <w:rPr>
          <w:rFonts w:hint="eastAsia" w:ascii="仿宋" w:hAnsi="仿宋" w:eastAsia="仿宋" w:cs="宋体"/>
          <w:bCs/>
          <w:sz w:val="28"/>
          <w:szCs w:val="28"/>
          <w:lang w:val="en-US" w:eastAsia="zh-CN"/>
        </w:rPr>
        <w:t>乙方应确保项目团队人员自合同签订之日起具备合同约定的专业资质，并维持核心人员的稳定性。</w:t>
      </w:r>
    </w:p>
    <w:p w14:paraId="702C3A4B">
      <w:pPr>
        <w:widowControl/>
        <w:autoSpaceDE w:val="0"/>
        <w:autoSpaceDN w:val="0"/>
        <w:adjustRightInd w:val="0"/>
        <w:snapToGrid w:val="0"/>
        <w:spacing w:line="360" w:lineRule="auto"/>
        <w:ind w:firstLine="560" w:firstLineChars="200"/>
        <w:textAlignment w:val="baseline"/>
        <w:rPr>
          <w:rFonts w:hint="eastAsia" w:ascii="仿宋" w:hAnsi="仿宋" w:eastAsia="仿宋" w:cs="宋体"/>
          <w:bCs/>
          <w:sz w:val="28"/>
          <w:szCs w:val="28"/>
        </w:rPr>
      </w:pPr>
      <w:r>
        <w:rPr>
          <w:rFonts w:hint="eastAsia" w:ascii="仿宋" w:hAnsi="仿宋" w:eastAsia="仿宋" w:cs="宋体"/>
          <w:bCs/>
          <w:sz w:val="28"/>
          <w:szCs w:val="28"/>
        </w:rPr>
        <w:t>（</w:t>
      </w:r>
      <w:r>
        <w:rPr>
          <w:rFonts w:hint="eastAsia" w:ascii="仿宋" w:hAnsi="仿宋" w:eastAsia="仿宋" w:cs="宋体"/>
          <w:bCs/>
          <w:sz w:val="28"/>
          <w:szCs w:val="28"/>
          <w:lang w:val="en-US" w:eastAsia="zh-CN"/>
        </w:rPr>
        <w:t>5</w:t>
      </w:r>
      <w:r>
        <w:rPr>
          <w:rFonts w:hint="eastAsia" w:ascii="仿宋" w:hAnsi="仿宋" w:eastAsia="仿宋" w:cs="宋体"/>
          <w:bCs/>
          <w:sz w:val="28"/>
          <w:szCs w:val="28"/>
        </w:rPr>
        <w:t>）</w:t>
      </w:r>
      <w:r>
        <w:rPr>
          <w:rFonts w:hint="eastAsia" w:ascii="仿宋" w:hAnsi="仿宋" w:eastAsia="仿宋" w:cs="宋体"/>
          <w:bCs/>
          <w:sz w:val="28"/>
          <w:szCs w:val="28"/>
          <w:lang w:val="en-US" w:eastAsia="zh-CN"/>
        </w:rPr>
        <w:t>项目服务绩效考核标准详见服务绩效考核表（附件）。</w:t>
      </w:r>
    </w:p>
    <w:p w14:paraId="17FEA087">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3.其他要求（验收依据）：</w:t>
      </w:r>
    </w:p>
    <w:p w14:paraId="60024F4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（1）招标文件、投标文件、澄清表（函）；</w:t>
      </w:r>
    </w:p>
    <w:p w14:paraId="10A2DC2A">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（2）本合同及附件文本；</w:t>
      </w:r>
    </w:p>
    <w:p w14:paraId="48736309">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（3）符合国家相应的标准、规范；</w:t>
      </w:r>
    </w:p>
    <w:p w14:paraId="1D2E1A9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（4）双方拟定的其他条款。</w:t>
      </w:r>
    </w:p>
    <w:p w14:paraId="6DE27EC9">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八、工作成果（评审报告）</w:t>
      </w:r>
    </w:p>
    <w:p w14:paraId="6D15D821">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乙方按照甲方具体委托完成服务工作，并</w:t>
      </w:r>
      <w:r>
        <w:rPr>
          <w:rFonts w:hint="eastAsia" w:ascii="仿宋" w:hAnsi="仿宋" w:eastAsia="仿宋" w:cs="宋体"/>
          <w:bCs/>
          <w:sz w:val="28"/>
          <w:szCs w:val="28"/>
          <w:lang w:eastAsia="zh-CN"/>
        </w:rPr>
        <w:t>按照甲方要求提供工作成果</w:t>
      </w:r>
      <w:r>
        <w:rPr>
          <w:rFonts w:hint="eastAsia" w:ascii="仿宋" w:hAnsi="仿宋" w:eastAsia="仿宋" w:cs="宋体"/>
          <w:bCs/>
          <w:sz w:val="28"/>
          <w:szCs w:val="28"/>
        </w:rPr>
        <w:t>。</w:t>
      </w:r>
    </w:p>
    <w:tbl>
      <w:tblPr>
        <w:tblStyle w:val="6"/>
        <w:tblW w:w="94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698"/>
        <w:gridCol w:w="1677"/>
        <w:gridCol w:w="5084"/>
        <w:gridCol w:w="789"/>
        <w:gridCol w:w="1190"/>
      </w:tblGrid>
      <w:tr w14:paraId="71221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43" w:hRule="exact"/>
          <w:jc w:val="center"/>
        </w:trPr>
        <w:tc>
          <w:tcPr>
            <w:tcW w:w="698" w:type="dxa"/>
            <w:noWrap w:val="0"/>
            <w:vAlign w:val="center"/>
          </w:tcPr>
          <w:p w14:paraId="3EC7B841">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序号</w:t>
            </w:r>
          </w:p>
        </w:tc>
        <w:tc>
          <w:tcPr>
            <w:tcW w:w="1677" w:type="dxa"/>
            <w:noWrap w:val="0"/>
            <w:vAlign w:val="center"/>
          </w:tcPr>
          <w:p w14:paraId="4AEB42B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服务类别</w:t>
            </w:r>
          </w:p>
        </w:tc>
        <w:tc>
          <w:tcPr>
            <w:tcW w:w="5084" w:type="dxa"/>
            <w:noWrap w:val="0"/>
            <w:vAlign w:val="center"/>
          </w:tcPr>
          <w:p w14:paraId="1CA0ED3C">
            <w:pPr>
              <w:keepNext w:val="0"/>
              <w:keepLines w:val="0"/>
              <w:pageBreakBefore w:val="0"/>
              <w:widowControl w:val="0"/>
              <w:kinsoku/>
              <w:wordWrap/>
              <w:overflowPunct/>
              <w:topLinePunct w:val="0"/>
              <w:autoSpaceDE/>
              <w:autoSpaceDN/>
              <w:bidi w:val="0"/>
              <w:adjustRightInd/>
              <w:snapToGrid/>
              <w:spacing w:line="300" w:lineRule="exact"/>
              <w:ind w:firstLine="562" w:firstLineChars="200"/>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交付成果</w:t>
            </w:r>
          </w:p>
        </w:tc>
        <w:tc>
          <w:tcPr>
            <w:tcW w:w="789" w:type="dxa"/>
            <w:noWrap w:val="0"/>
            <w:vAlign w:val="center"/>
          </w:tcPr>
          <w:p w14:paraId="03CD901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数量</w:t>
            </w:r>
          </w:p>
        </w:tc>
        <w:tc>
          <w:tcPr>
            <w:tcW w:w="1190" w:type="dxa"/>
            <w:noWrap w:val="0"/>
            <w:vAlign w:val="center"/>
          </w:tcPr>
          <w:p w14:paraId="2942443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bCs w:val="0"/>
                <w:kern w:val="2"/>
                <w:sz w:val="28"/>
                <w:szCs w:val="28"/>
                <w:lang w:val="en-US" w:eastAsia="zh-CN" w:bidi="ar-SA"/>
              </w:rPr>
            </w:pPr>
            <w:r>
              <w:rPr>
                <w:rFonts w:hint="eastAsia" w:ascii="仿宋_GB2312" w:hAnsi="仿宋_GB2312" w:eastAsia="仿宋_GB2312" w:cs="仿宋_GB2312"/>
                <w:b/>
                <w:bCs w:val="0"/>
                <w:kern w:val="2"/>
                <w:sz w:val="28"/>
                <w:szCs w:val="28"/>
                <w:lang w:val="en-US" w:eastAsia="zh-CN" w:bidi="ar-SA"/>
              </w:rPr>
              <w:t>备注</w:t>
            </w:r>
          </w:p>
        </w:tc>
      </w:tr>
      <w:tr w14:paraId="27C7E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1007" w:hRule="exact"/>
          <w:jc w:val="center"/>
        </w:trPr>
        <w:tc>
          <w:tcPr>
            <w:tcW w:w="698" w:type="dxa"/>
            <w:noWrap w:val="0"/>
            <w:vAlign w:val="center"/>
          </w:tcPr>
          <w:p w14:paraId="616C842F">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1</w:t>
            </w:r>
          </w:p>
        </w:tc>
        <w:tc>
          <w:tcPr>
            <w:tcW w:w="1677" w:type="dxa"/>
            <w:vMerge w:val="restart"/>
            <w:noWrap w:val="0"/>
            <w:vAlign w:val="center"/>
          </w:tcPr>
          <w:p w14:paraId="0632950E">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运维及信创改造类项目资金概算评审服务</w:t>
            </w:r>
          </w:p>
        </w:tc>
        <w:tc>
          <w:tcPr>
            <w:tcW w:w="5084" w:type="dxa"/>
            <w:shd w:val="clear" w:color="auto" w:fill="auto"/>
            <w:noWrap w:val="0"/>
            <w:vAlign w:val="center"/>
          </w:tcPr>
          <w:p w14:paraId="78B9D109">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sz w:val="24"/>
                <w:szCs w:val="24"/>
                <w:highlight w:val="none"/>
              </w:rPr>
              <w:t>市级信息化项目</w:t>
            </w:r>
            <w:r>
              <w:rPr>
                <w:rFonts w:hint="eastAsia" w:ascii="仿宋_GB2312" w:hAnsi="仿宋_GB2312" w:eastAsia="仿宋_GB2312" w:cs="仿宋_GB2312"/>
                <w:color w:val="auto"/>
                <w:sz w:val="24"/>
                <w:szCs w:val="24"/>
                <w:highlight w:val="none"/>
                <w:lang w:val="en-US" w:eastAsia="zh-CN"/>
              </w:rPr>
              <w:t>投资概算编制及评审标准（修订稿）</w:t>
            </w:r>
          </w:p>
        </w:tc>
        <w:tc>
          <w:tcPr>
            <w:tcW w:w="789" w:type="dxa"/>
            <w:shd w:val="clear" w:color="auto" w:fill="auto"/>
            <w:noWrap w:val="0"/>
            <w:vAlign w:val="center"/>
          </w:tcPr>
          <w:p w14:paraId="7441011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1项</w:t>
            </w:r>
          </w:p>
        </w:tc>
        <w:tc>
          <w:tcPr>
            <w:tcW w:w="1190" w:type="dxa"/>
            <w:vMerge w:val="restart"/>
            <w:noWrap w:val="0"/>
            <w:vAlign w:val="center"/>
          </w:tcPr>
          <w:p w14:paraId="02202995">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kern w:val="2"/>
                <w:sz w:val="28"/>
                <w:szCs w:val="28"/>
                <w:lang w:val="en-US" w:eastAsia="zh-CN" w:bidi="ar-SA"/>
              </w:rPr>
            </w:pPr>
            <w:r>
              <w:rPr>
                <w:rFonts w:hint="eastAsia" w:ascii="仿宋_GB2312" w:hAnsi="仿宋_GB2312" w:eastAsia="仿宋_GB2312" w:cs="仿宋_GB2312"/>
                <w:color w:val="auto"/>
                <w:sz w:val="24"/>
                <w:szCs w:val="24"/>
                <w:highlight w:val="none"/>
                <w:lang w:val="en-US" w:eastAsia="zh-CN"/>
              </w:rPr>
              <w:t>交付物的名称和数量可能随着项目需求变化而调整，具体以甲方最终确定的工作内容和交付物为准。</w:t>
            </w:r>
          </w:p>
        </w:tc>
      </w:tr>
      <w:tr w14:paraId="2BFE9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43" w:hRule="exact"/>
          <w:jc w:val="center"/>
        </w:trPr>
        <w:tc>
          <w:tcPr>
            <w:tcW w:w="698" w:type="dxa"/>
            <w:noWrap w:val="0"/>
            <w:vAlign w:val="center"/>
          </w:tcPr>
          <w:p w14:paraId="5E84AD2A">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2</w:t>
            </w:r>
          </w:p>
        </w:tc>
        <w:tc>
          <w:tcPr>
            <w:tcW w:w="1677" w:type="dxa"/>
            <w:vMerge w:val="continue"/>
            <w:noWrap w:val="0"/>
            <w:vAlign w:val="center"/>
          </w:tcPr>
          <w:p w14:paraId="10352602">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p>
        </w:tc>
        <w:tc>
          <w:tcPr>
            <w:tcW w:w="5084" w:type="dxa"/>
            <w:shd w:val="clear" w:color="auto" w:fill="auto"/>
            <w:noWrap w:val="0"/>
            <w:vAlign w:val="center"/>
          </w:tcPr>
          <w:p w14:paraId="6521526E">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sz w:val="24"/>
                <w:szCs w:val="24"/>
                <w:highlight w:val="none"/>
              </w:rPr>
              <w:t>市级信息化项目投资概算审核工作方案</w:t>
            </w:r>
          </w:p>
        </w:tc>
        <w:tc>
          <w:tcPr>
            <w:tcW w:w="789" w:type="dxa"/>
            <w:shd w:val="clear" w:color="auto" w:fill="auto"/>
            <w:noWrap w:val="0"/>
            <w:vAlign w:val="center"/>
          </w:tcPr>
          <w:p w14:paraId="57351B1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1项</w:t>
            </w:r>
          </w:p>
        </w:tc>
        <w:tc>
          <w:tcPr>
            <w:tcW w:w="1190" w:type="dxa"/>
            <w:vMerge w:val="continue"/>
            <w:noWrap w:val="0"/>
            <w:vAlign w:val="center"/>
          </w:tcPr>
          <w:p w14:paraId="6C8CEF8D">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center"/>
              <w:textAlignment w:val="auto"/>
              <w:rPr>
                <w:rFonts w:hint="eastAsia" w:ascii="仿宋_GB2312" w:hAnsi="仿宋_GB2312" w:eastAsia="仿宋_GB2312" w:cs="仿宋_GB2312"/>
                <w:bCs/>
                <w:kern w:val="2"/>
                <w:sz w:val="28"/>
                <w:szCs w:val="28"/>
                <w:lang w:val="en-US" w:eastAsia="zh-CN" w:bidi="ar-SA"/>
              </w:rPr>
            </w:pPr>
          </w:p>
        </w:tc>
      </w:tr>
      <w:tr w14:paraId="12029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74" w:hRule="exact"/>
          <w:jc w:val="center"/>
        </w:trPr>
        <w:tc>
          <w:tcPr>
            <w:tcW w:w="698" w:type="dxa"/>
            <w:noWrap w:val="0"/>
            <w:vAlign w:val="center"/>
          </w:tcPr>
          <w:p w14:paraId="25E9EF2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bCs/>
                <w:kern w:val="2"/>
                <w:sz w:val="24"/>
                <w:szCs w:val="24"/>
                <w:highlight w:val="none"/>
                <w:lang w:val="en-US" w:eastAsia="zh-CN" w:bidi="ar-SA"/>
              </w:rPr>
              <w:t>3</w:t>
            </w:r>
          </w:p>
        </w:tc>
        <w:tc>
          <w:tcPr>
            <w:tcW w:w="1677" w:type="dxa"/>
            <w:vMerge w:val="continue"/>
            <w:noWrap w:val="0"/>
            <w:vAlign w:val="center"/>
          </w:tcPr>
          <w:p w14:paraId="4AF353A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highlight w:val="none"/>
                <w:lang w:val="en-US" w:eastAsia="zh-CN" w:bidi="ar-SA"/>
              </w:rPr>
            </w:pPr>
          </w:p>
        </w:tc>
        <w:tc>
          <w:tcPr>
            <w:tcW w:w="5084" w:type="dxa"/>
            <w:shd w:val="clear" w:color="auto" w:fill="auto"/>
            <w:noWrap w:val="0"/>
            <w:vAlign w:val="center"/>
          </w:tcPr>
          <w:p w14:paraId="5FE3CDFE">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kern w:val="2"/>
                <w:sz w:val="24"/>
                <w:szCs w:val="24"/>
                <w:highlight w:val="none"/>
                <w:lang w:val="en-US" w:eastAsia="zh-CN" w:bidi="ar-SA"/>
              </w:rPr>
            </w:pPr>
            <w:r>
              <w:rPr>
                <w:rFonts w:hint="eastAsia" w:ascii="仿宋_GB2312" w:hAnsi="仿宋_GB2312" w:eastAsia="仿宋_GB2312" w:cs="仿宋_GB2312"/>
                <w:sz w:val="24"/>
                <w:szCs w:val="24"/>
                <w:highlight w:val="none"/>
              </w:rPr>
              <w:t>市级信息化项目投资预算第三方评审报告</w:t>
            </w:r>
            <w:r>
              <w:rPr>
                <w:rFonts w:hint="eastAsia" w:ascii="仿宋_GB2312" w:hAnsi="仿宋_GB2312" w:eastAsia="仿宋_GB2312" w:cs="仿宋_GB2312"/>
                <w:sz w:val="24"/>
                <w:szCs w:val="24"/>
                <w:highlight w:val="none"/>
                <w:lang w:eastAsia="zh-CN"/>
              </w:rPr>
              <w:t>汇编</w:t>
            </w:r>
          </w:p>
        </w:tc>
        <w:tc>
          <w:tcPr>
            <w:tcW w:w="789" w:type="dxa"/>
            <w:shd w:val="clear" w:color="auto" w:fill="auto"/>
            <w:noWrap w:val="0"/>
            <w:vAlign w:val="center"/>
          </w:tcPr>
          <w:p w14:paraId="716C2887">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kern w:val="2"/>
                <w:sz w:val="24"/>
                <w:szCs w:val="24"/>
                <w:lang w:val="en-US" w:eastAsia="zh-CN" w:bidi="ar-SA"/>
              </w:rPr>
            </w:pPr>
            <w:r>
              <w:rPr>
                <w:rFonts w:hint="eastAsia" w:ascii="仿宋_GB2312" w:hAnsi="仿宋_GB2312" w:eastAsia="仿宋_GB2312" w:cs="仿宋_GB2312"/>
                <w:bCs/>
                <w:kern w:val="2"/>
                <w:sz w:val="24"/>
                <w:szCs w:val="24"/>
                <w:lang w:val="en-US" w:eastAsia="zh-CN" w:bidi="ar-SA"/>
              </w:rPr>
              <w:t>1项</w:t>
            </w:r>
          </w:p>
        </w:tc>
        <w:tc>
          <w:tcPr>
            <w:tcW w:w="1190" w:type="dxa"/>
            <w:vMerge w:val="continue"/>
            <w:noWrap w:val="0"/>
            <w:vAlign w:val="center"/>
          </w:tcPr>
          <w:p w14:paraId="5BAEA9A9">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center"/>
              <w:textAlignment w:val="auto"/>
              <w:rPr>
                <w:rFonts w:hint="eastAsia" w:ascii="仿宋_GB2312" w:hAnsi="仿宋_GB2312" w:eastAsia="仿宋_GB2312" w:cs="仿宋_GB2312"/>
                <w:bCs/>
                <w:kern w:val="2"/>
                <w:sz w:val="28"/>
                <w:szCs w:val="28"/>
                <w:lang w:val="en-US" w:eastAsia="zh-CN" w:bidi="ar-SA"/>
              </w:rPr>
            </w:pPr>
          </w:p>
        </w:tc>
      </w:tr>
      <w:tr w14:paraId="38170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857" w:hRule="exact"/>
          <w:jc w:val="center"/>
        </w:trPr>
        <w:tc>
          <w:tcPr>
            <w:tcW w:w="698" w:type="dxa"/>
            <w:shd w:val="clear" w:color="auto" w:fill="auto"/>
            <w:noWrap w:val="0"/>
            <w:vAlign w:val="center"/>
          </w:tcPr>
          <w:p w14:paraId="2248D7C1">
            <w:pPr>
              <w:widowControl/>
              <w:jc w:val="center"/>
              <w:rPr>
                <w:rFonts w:hint="default" w:ascii="仿宋" w:hAnsi="仿宋" w:eastAsia="仿宋" w:cs="宋体"/>
                <w:kern w:val="0"/>
                <w:sz w:val="22"/>
                <w:szCs w:val="21"/>
                <w:lang w:val="en-US" w:eastAsia="zh-CN" w:bidi="ar-SA"/>
              </w:rPr>
            </w:pPr>
            <w:r>
              <w:rPr>
                <w:rFonts w:hint="eastAsia" w:ascii="仿宋" w:hAnsi="仿宋" w:eastAsia="仿宋" w:cs="宋体"/>
                <w:kern w:val="0"/>
                <w:sz w:val="22"/>
                <w:szCs w:val="21"/>
                <w:lang w:val="en-US" w:eastAsia="zh-CN" w:bidi="ar-SA"/>
              </w:rPr>
              <w:t>4</w:t>
            </w:r>
          </w:p>
        </w:tc>
        <w:tc>
          <w:tcPr>
            <w:tcW w:w="1677" w:type="dxa"/>
            <w:shd w:val="clear" w:color="auto" w:fill="auto"/>
            <w:noWrap w:val="0"/>
            <w:vAlign w:val="center"/>
          </w:tcPr>
          <w:p w14:paraId="4FA5E0FB">
            <w:pPr>
              <w:widowControl/>
              <w:jc w:val="center"/>
              <w:rPr>
                <w:rFonts w:hint="eastAsia" w:ascii="仿宋" w:hAnsi="仿宋" w:eastAsia="仿宋" w:cs="宋体"/>
                <w:kern w:val="0"/>
                <w:sz w:val="22"/>
                <w:szCs w:val="21"/>
                <w:lang w:val="en-US" w:eastAsia="zh-CN" w:bidi="ar-SA"/>
              </w:rPr>
            </w:pPr>
            <w:r>
              <w:rPr>
                <w:rFonts w:hint="eastAsia" w:ascii="仿宋_GB2312" w:hAnsi="仿宋_GB2312" w:eastAsia="仿宋_GB2312" w:cs="仿宋_GB2312"/>
                <w:bCs/>
                <w:kern w:val="2"/>
                <w:sz w:val="24"/>
                <w:szCs w:val="24"/>
                <w:lang w:val="en-US" w:eastAsia="zh-CN" w:bidi="ar-SA"/>
              </w:rPr>
              <w:t>工作日志</w:t>
            </w:r>
          </w:p>
        </w:tc>
        <w:tc>
          <w:tcPr>
            <w:tcW w:w="5084" w:type="dxa"/>
            <w:shd w:val="clear" w:color="auto" w:fill="auto"/>
            <w:noWrap w:val="0"/>
            <w:vAlign w:val="center"/>
          </w:tcPr>
          <w:p w14:paraId="0A981BFD">
            <w:pPr>
              <w:widowControl/>
              <w:jc w:val="left"/>
              <w:rPr>
                <w:rFonts w:hint="eastAsia" w:ascii="仿宋" w:hAnsi="仿宋" w:eastAsia="仿宋" w:cs="宋体"/>
                <w:kern w:val="0"/>
                <w:sz w:val="22"/>
                <w:szCs w:val="21"/>
                <w:lang w:val="en-US" w:eastAsia="zh-CN" w:bidi="ar-SA"/>
              </w:rPr>
            </w:pPr>
            <w:r>
              <w:rPr>
                <w:rFonts w:hint="eastAsia" w:ascii="仿宋_GB2312" w:hAnsi="仿宋_GB2312" w:eastAsia="仿宋_GB2312" w:cs="仿宋_GB2312"/>
                <w:sz w:val="24"/>
                <w:szCs w:val="24"/>
              </w:rPr>
              <w:t>工作月报</w:t>
            </w:r>
          </w:p>
        </w:tc>
        <w:tc>
          <w:tcPr>
            <w:tcW w:w="789" w:type="dxa"/>
            <w:shd w:val="clear" w:color="auto" w:fill="auto"/>
            <w:noWrap w:val="0"/>
            <w:vAlign w:val="center"/>
          </w:tcPr>
          <w:p w14:paraId="44CB450F">
            <w:pPr>
              <w:widowControl/>
              <w:jc w:val="center"/>
              <w:rPr>
                <w:rFonts w:hint="eastAsia" w:ascii="仿宋" w:hAnsi="仿宋" w:eastAsia="仿宋" w:cs="宋体"/>
                <w:kern w:val="0"/>
                <w:sz w:val="22"/>
                <w:szCs w:val="21"/>
                <w:lang w:val="en-US" w:eastAsia="zh-CN" w:bidi="ar-SA"/>
              </w:rPr>
            </w:pPr>
            <w:r>
              <w:rPr>
                <w:rFonts w:ascii="仿宋" w:hAnsi="仿宋" w:eastAsia="仿宋" w:cs="宋体"/>
                <w:kern w:val="0"/>
                <w:sz w:val="22"/>
                <w:szCs w:val="22"/>
              </w:rPr>
              <w:t>1</w:t>
            </w:r>
            <w:r>
              <w:rPr>
                <w:rFonts w:hint="eastAsia" w:ascii="仿宋_GB2312" w:hAnsi="仿宋_GB2312" w:eastAsia="仿宋_GB2312" w:cs="仿宋_GB2312"/>
                <w:bCs/>
                <w:kern w:val="2"/>
                <w:sz w:val="24"/>
                <w:szCs w:val="24"/>
                <w:lang w:val="en-US" w:eastAsia="zh-CN" w:bidi="ar-SA"/>
              </w:rPr>
              <w:t>项</w:t>
            </w:r>
          </w:p>
        </w:tc>
        <w:tc>
          <w:tcPr>
            <w:tcW w:w="1190" w:type="dxa"/>
            <w:vMerge w:val="continue"/>
            <w:noWrap w:val="0"/>
            <w:vAlign w:val="center"/>
          </w:tcPr>
          <w:p w14:paraId="1567DA90">
            <w:pPr>
              <w:keepNext w:val="0"/>
              <w:keepLines w:val="0"/>
              <w:pageBreakBefore w:val="0"/>
              <w:widowControl w:val="0"/>
              <w:kinsoku/>
              <w:wordWrap/>
              <w:overflowPunct/>
              <w:topLinePunct w:val="0"/>
              <w:autoSpaceDE/>
              <w:autoSpaceDN/>
              <w:bidi w:val="0"/>
              <w:adjustRightInd/>
              <w:snapToGrid/>
              <w:spacing w:line="300" w:lineRule="exact"/>
              <w:ind w:firstLine="560" w:firstLineChars="200"/>
              <w:jc w:val="center"/>
              <w:textAlignment w:val="auto"/>
              <w:rPr>
                <w:rFonts w:hint="eastAsia" w:ascii="仿宋_GB2312" w:hAnsi="仿宋_GB2312" w:eastAsia="仿宋_GB2312" w:cs="仿宋_GB2312"/>
                <w:bCs/>
                <w:kern w:val="2"/>
                <w:sz w:val="28"/>
                <w:szCs w:val="28"/>
                <w:lang w:val="en-US" w:eastAsia="zh-CN" w:bidi="ar-SA"/>
              </w:rPr>
            </w:pPr>
          </w:p>
        </w:tc>
      </w:tr>
    </w:tbl>
    <w:p w14:paraId="7C077469">
      <w:pPr>
        <w:widowControl/>
        <w:autoSpaceDE w:val="0"/>
        <w:autoSpaceDN w:val="0"/>
        <w:adjustRightInd w:val="0"/>
        <w:snapToGrid w:val="0"/>
        <w:spacing w:line="360" w:lineRule="auto"/>
        <w:ind w:firstLine="480" w:firstLineChars="200"/>
        <w:textAlignment w:val="baseline"/>
        <w:rPr>
          <w:rFonts w:ascii="宋体" w:hAnsi="宋体" w:eastAsia="宋体" w:cs="宋体"/>
          <w:bCs/>
          <w:sz w:val="24"/>
        </w:rPr>
      </w:pPr>
    </w:p>
    <w:p w14:paraId="404A1FE6">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九、保密责任</w:t>
      </w:r>
    </w:p>
    <w:p w14:paraId="4F2B1EF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1.乙方应遵守国家有关保密的法律法规和行业规定，并对甲方提供的资料负有保密义务。未经甲方同意，不得将承接政府服务项目获得的政府、公民个人等各种信息和资料提供给其他单位和个人。</w:t>
      </w:r>
    </w:p>
    <w:p w14:paraId="18EF5050">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2.乙方有义务保护甲方的知识产权，未经甲方同意，不得将甲方所有的具有知识产权性质的成果文件、资料向第三方转让或用于本合同以外的项目。</w:t>
      </w:r>
    </w:p>
    <w:p w14:paraId="2ECADF22">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3.保密期限为长期。若乙方泄密应向甲方支付合同价款</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rPr>
        <w:t>%的违约金并赔偿甲方的所有损失。</w:t>
      </w:r>
    </w:p>
    <w:p w14:paraId="219167BD">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4．本条款为独立条款，本合同的无效、变更、解除和终止均不影响本条款的效力。</w:t>
      </w:r>
    </w:p>
    <w:p w14:paraId="760AD118">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十、违约责任</w:t>
      </w:r>
    </w:p>
    <w:p w14:paraId="473176E6">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1.按《</w:t>
      </w:r>
      <w:r>
        <w:rPr>
          <w:rFonts w:hint="eastAsia" w:ascii="仿宋" w:hAnsi="仿宋" w:eastAsia="仿宋" w:cs="仿宋"/>
          <w:sz w:val="28"/>
          <w:szCs w:val="28"/>
        </w:rPr>
        <w:t>中华人民共和国</w:t>
      </w:r>
      <w:r>
        <w:rPr>
          <w:rFonts w:hint="eastAsia" w:ascii="仿宋" w:hAnsi="仿宋" w:eastAsia="仿宋" w:cs="宋体"/>
          <w:sz w:val="28"/>
          <w:szCs w:val="28"/>
        </w:rPr>
        <w:t>民法典》中的相关条款执行。</w:t>
      </w:r>
    </w:p>
    <w:p w14:paraId="198E3A52">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2.未按合同要求提供服务或服务质量不能满足合同要求，甲方应当将乙方违约的情况以及拟采取的措施以书面形式报政府采购监管部门，根据政府采购监管部门的处理意见，甲方有权单方面终止合同，并要求乙方承担违约责任。同时，政府采购监管部门有权依据《</w:t>
      </w:r>
      <w:r>
        <w:rPr>
          <w:rFonts w:hint="eastAsia" w:ascii="仿宋" w:hAnsi="仿宋" w:eastAsia="仿宋" w:cs="仿宋"/>
          <w:sz w:val="28"/>
          <w:szCs w:val="28"/>
        </w:rPr>
        <w:t>中华人民共和国</w:t>
      </w:r>
      <w:r>
        <w:rPr>
          <w:rFonts w:hint="eastAsia" w:ascii="仿宋" w:hAnsi="仿宋" w:eastAsia="仿宋" w:cs="宋体"/>
          <w:sz w:val="28"/>
          <w:szCs w:val="28"/>
        </w:rPr>
        <w:t>政府采购法》及相关法律法规对乙方的违法行为进行相应的处罚。</w:t>
      </w:r>
    </w:p>
    <w:p w14:paraId="4594F473">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3.在本合同履行过程中，双方因违约或造成对方经济、社会效益等损失的应当赔偿，包括但不限于律师费、差旅费、诉讼费、调查费、公证费、鉴定费、专家证人出庭费、诉讼保全保险费等。</w:t>
      </w:r>
    </w:p>
    <w:p w14:paraId="64BAC6F4">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4.乙方提供的服务不符合本项目相关文件和本合同规定的，甲方有权拒绝，并且乙方须向甲方支付本合同总价款</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%的违约金。</w:t>
      </w:r>
    </w:p>
    <w:p w14:paraId="2F65F869">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5.乙方未能按照本合同约定时间提供服务或完成约定的项目服务内容的，从逾期之日起每日按本合同总价款</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%的数额向甲方支付违约金；逾期</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sz w:val="28"/>
          <w:szCs w:val="28"/>
        </w:rPr>
        <w:t>日以上的，甲方有权终止合同，由此造成的甲方经济损失由乙方承担。</w:t>
      </w:r>
    </w:p>
    <w:p w14:paraId="030C3889">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宋体" w:hAnsi="宋体" w:eastAsia="宋体" w:cs="宋体"/>
          <w:sz w:val="24"/>
        </w:rPr>
      </w:pPr>
      <w:r>
        <w:rPr>
          <w:rFonts w:hint="eastAsia" w:ascii="仿宋" w:hAnsi="仿宋" w:eastAsia="仿宋" w:cs="宋体"/>
          <w:sz w:val="28"/>
          <w:szCs w:val="28"/>
        </w:rPr>
        <w:t>6.未经甲方同意，乙方不得擅自将本合同服务转包或分包第三方承担。</w:t>
      </w:r>
    </w:p>
    <w:p w14:paraId="21E03025">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 xml:space="preserve">十一、协议解除或终止 </w:t>
      </w:r>
    </w:p>
    <w:p w14:paraId="0B947612">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（一）除本合同另有规定外，在发生以下情况时，甲方有权在向乙方发出终止通知后终止本合同： </w:t>
      </w:r>
    </w:p>
    <w:p w14:paraId="71E9DD4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1.乙方未履行合同规定的义务并且在接到甲方通知后</w:t>
      </w:r>
      <w:r>
        <w:rPr>
          <w:rFonts w:hint="eastAsia" w:ascii="仿宋" w:hAnsi="仿宋" w:eastAsia="仿宋" w:cs="宋体"/>
          <w:sz w:val="28"/>
          <w:szCs w:val="28"/>
          <w:u w:val="single"/>
        </w:rPr>
        <w:t xml:space="preserve"> </w:t>
      </w:r>
      <w:r>
        <w:rPr>
          <w:rFonts w:hint="eastAsia" w:ascii="仿宋" w:hAnsi="仿宋" w:eastAsia="仿宋" w:cs="宋体"/>
          <w:sz w:val="28"/>
          <w:szCs w:val="28"/>
          <w:u w:val="single"/>
          <w:lang w:val="en-US" w:eastAsia="zh-CN"/>
        </w:rPr>
        <w:t xml:space="preserve"> </w:t>
      </w:r>
      <w:r>
        <w:rPr>
          <w:rFonts w:hint="eastAsia" w:ascii="仿宋" w:hAnsi="仿宋" w:eastAsia="仿宋" w:cs="宋体"/>
          <w:sz w:val="28"/>
          <w:szCs w:val="28"/>
          <w:u w:val="single"/>
        </w:rPr>
        <w:t xml:space="preserve"> </w:t>
      </w:r>
      <w:r>
        <w:rPr>
          <w:rFonts w:hint="eastAsia" w:ascii="仿宋" w:hAnsi="仿宋" w:eastAsia="仿宋" w:cs="宋体"/>
          <w:bCs/>
          <w:sz w:val="28"/>
          <w:szCs w:val="28"/>
        </w:rPr>
        <w:t xml:space="preserve">天内或乙方在甲方同意延长的时间内仍未履行的。 </w:t>
      </w:r>
    </w:p>
    <w:p w14:paraId="6C5B61E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2.因乙方的过错导致甲方的</w:t>
      </w:r>
      <w:r>
        <w:rPr>
          <w:rFonts w:hint="eastAsia" w:ascii="仿宋" w:hAnsi="仿宋" w:eastAsia="仿宋" w:cs="宋体"/>
          <w:bCs/>
          <w:sz w:val="28"/>
          <w:szCs w:val="28"/>
          <w:lang w:eastAsia="zh-CN"/>
        </w:rPr>
        <w:t>履约</w:t>
      </w:r>
      <w:r>
        <w:rPr>
          <w:rFonts w:hint="eastAsia" w:ascii="仿宋" w:hAnsi="仿宋" w:eastAsia="仿宋" w:cs="宋体"/>
          <w:bCs/>
          <w:sz w:val="28"/>
          <w:szCs w:val="28"/>
        </w:rPr>
        <w:t>验收延迟超过</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 xml:space="preserve">周。 </w:t>
      </w:r>
    </w:p>
    <w:p w14:paraId="7D73E44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（二）发生以下情况时，任何一方有权在向另一方发出终止通知后终止本合同： </w:t>
      </w:r>
    </w:p>
    <w:p w14:paraId="2C611AD8">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1.一方破产或无清偿能力； </w:t>
      </w:r>
    </w:p>
    <w:p w14:paraId="40D69965">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2.不可抗力事件阻碍任何一方履行其合同义务持续超过</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 xml:space="preserve">天； </w:t>
      </w:r>
    </w:p>
    <w:p w14:paraId="66650F3F">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 xml:space="preserve">3.因本条而终止时，乙方仅有权就其在终止之前已履行的服务获得付款。 </w:t>
      </w:r>
    </w:p>
    <w:p w14:paraId="5D87817D">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十二、解决争议方式</w:t>
      </w:r>
    </w:p>
    <w:p w14:paraId="126842F7">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本合同在履行过程中发生的争议，由甲、乙双方当事人协商解决，协商不成的依法向甲方所在地人民法院起诉。</w:t>
      </w:r>
    </w:p>
    <w:p w14:paraId="034F8DC2">
      <w:pPr>
        <w:widowControl/>
        <w:autoSpaceDE w:val="0"/>
        <w:autoSpaceDN w:val="0"/>
        <w:adjustRightInd w:val="0"/>
        <w:snapToGrid w:val="0"/>
        <w:spacing w:line="360" w:lineRule="auto"/>
        <w:ind w:firstLine="562" w:firstLineChars="200"/>
        <w:textAlignment w:val="baseline"/>
        <w:rPr>
          <w:rFonts w:ascii="黑体" w:hAnsi="黑体" w:eastAsia="黑体" w:cs="宋体"/>
          <w:b/>
          <w:sz w:val="28"/>
          <w:szCs w:val="28"/>
        </w:rPr>
      </w:pPr>
      <w:r>
        <w:rPr>
          <w:rFonts w:hint="eastAsia" w:ascii="黑体" w:hAnsi="黑体" w:eastAsia="黑体" w:cs="宋体"/>
          <w:b/>
          <w:sz w:val="28"/>
          <w:szCs w:val="28"/>
        </w:rPr>
        <w:t>十三、合同生效及其他</w:t>
      </w:r>
    </w:p>
    <w:p w14:paraId="460A6770">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1.本合同须经甲、乙双方签字盖章后正式生效。</w:t>
      </w:r>
    </w:p>
    <w:p w14:paraId="6522C141">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2.合同生效后，甲、乙双方须严格执行本合同条款的规定，全面履行合同，违者按《中华人民共和国民法典》的有关规定承担相应责任。</w:t>
      </w:r>
    </w:p>
    <w:p w14:paraId="5C1DBA4C">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3.本合同一式</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份，甲方持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份，乙方持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份，鉴证方持</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份，西安市财政局政府采购管理处备案</w:t>
      </w:r>
      <w:r>
        <w:rPr>
          <w:rFonts w:hint="eastAsia" w:ascii="仿宋" w:hAnsi="仿宋" w:eastAsia="仿宋" w:cs="宋体"/>
          <w:bCs/>
          <w:sz w:val="28"/>
          <w:szCs w:val="28"/>
          <w:u w:val="single"/>
        </w:rPr>
        <w:t xml:space="preserve"> </w:t>
      </w:r>
      <w:r>
        <w:rPr>
          <w:rFonts w:hint="eastAsia" w:ascii="仿宋" w:hAnsi="仿宋" w:eastAsia="仿宋" w:cs="宋体"/>
          <w:bCs/>
          <w:sz w:val="28"/>
          <w:szCs w:val="28"/>
          <w:u w:val="single"/>
          <w:lang w:val="en-US" w:eastAsia="zh-CN"/>
        </w:rPr>
        <w:t xml:space="preserve"> </w:t>
      </w:r>
      <w:r>
        <w:rPr>
          <w:rFonts w:hint="eastAsia" w:ascii="仿宋" w:hAnsi="仿宋" w:eastAsia="仿宋" w:cs="宋体"/>
          <w:bCs/>
          <w:sz w:val="28"/>
          <w:szCs w:val="28"/>
          <w:u w:val="single"/>
        </w:rPr>
        <w:t xml:space="preserve"> </w:t>
      </w:r>
      <w:r>
        <w:rPr>
          <w:rFonts w:hint="eastAsia" w:ascii="仿宋" w:hAnsi="仿宋" w:eastAsia="仿宋" w:cs="宋体"/>
          <w:bCs/>
          <w:sz w:val="28"/>
          <w:szCs w:val="28"/>
        </w:rPr>
        <w:t>份。</w:t>
      </w:r>
    </w:p>
    <w:p w14:paraId="4E04FDE3">
      <w:pPr>
        <w:widowControl/>
        <w:autoSpaceDE w:val="0"/>
        <w:autoSpaceDN w:val="0"/>
        <w:adjustRightInd w:val="0"/>
        <w:snapToGrid w:val="0"/>
        <w:spacing w:line="360" w:lineRule="auto"/>
        <w:ind w:firstLine="560" w:firstLineChars="200"/>
        <w:textAlignment w:val="baseline"/>
        <w:rPr>
          <w:rFonts w:ascii="仿宋" w:hAnsi="仿宋" w:eastAsia="仿宋" w:cs="宋体"/>
          <w:bCs/>
          <w:sz w:val="28"/>
          <w:szCs w:val="28"/>
        </w:rPr>
      </w:pPr>
      <w:r>
        <w:rPr>
          <w:rFonts w:hint="eastAsia" w:ascii="仿宋" w:hAnsi="仿宋" w:eastAsia="仿宋" w:cs="宋体"/>
          <w:bCs/>
          <w:sz w:val="28"/>
          <w:szCs w:val="28"/>
        </w:rPr>
        <w:t>4.本合同如有未尽事宜，甲、乙双方协商解决。</w:t>
      </w:r>
    </w:p>
    <w:p w14:paraId="7A68E3B1">
      <w:pPr>
        <w:widowControl/>
        <w:autoSpaceDE w:val="0"/>
        <w:autoSpaceDN w:val="0"/>
        <w:adjustRightInd w:val="0"/>
        <w:snapToGrid w:val="0"/>
        <w:spacing w:line="360" w:lineRule="auto"/>
        <w:ind w:firstLine="480" w:firstLineChars="200"/>
        <w:textAlignment w:val="baseline"/>
        <w:rPr>
          <w:rFonts w:ascii="宋体" w:hAnsi="宋体" w:eastAsia="宋体" w:cs="宋体"/>
          <w:sz w:val="24"/>
        </w:rPr>
        <w:sectPr>
          <w:headerReference r:id="rId5" w:type="default"/>
          <w:footerReference r:id="rId6" w:type="default"/>
          <w:pgSz w:w="11906" w:h="16838"/>
          <w:pgMar w:top="2098" w:right="1474" w:bottom="1984" w:left="1587" w:header="851" w:footer="992" w:gutter="0"/>
          <w:cols w:space="425" w:num="1"/>
          <w:docGrid w:type="lines" w:linePitch="312" w:charSpace="0"/>
        </w:sectPr>
      </w:pPr>
    </w:p>
    <w:p w14:paraId="3F560721">
      <w:pPr>
        <w:widowControl/>
        <w:autoSpaceDE w:val="0"/>
        <w:autoSpaceDN w:val="0"/>
        <w:adjustRightInd w:val="0"/>
        <w:snapToGrid w:val="0"/>
        <w:spacing w:line="360" w:lineRule="auto"/>
        <w:ind w:firstLine="560" w:firstLineChars="200"/>
        <w:textAlignment w:val="baseline"/>
        <w:rPr>
          <w:rFonts w:ascii="仿宋" w:hAnsi="仿宋" w:eastAsia="仿宋" w:cs="宋体"/>
          <w:sz w:val="28"/>
          <w:szCs w:val="28"/>
        </w:rPr>
      </w:pPr>
      <w:r>
        <w:rPr>
          <w:rFonts w:hint="eastAsia" w:ascii="仿宋" w:hAnsi="仿宋" w:eastAsia="仿宋" w:cs="宋体"/>
          <w:sz w:val="28"/>
          <w:szCs w:val="28"/>
        </w:rPr>
        <w:t>（以下无正文）</w:t>
      </w:r>
    </w:p>
    <w:p w14:paraId="512E1086">
      <w:pPr>
        <w:adjustRightInd w:val="0"/>
        <w:snapToGrid w:val="0"/>
        <w:spacing w:line="360" w:lineRule="auto"/>
        <w:ind w:firstLine="210"/>
        <w:textAlignment w:val="baseline"/>
        <w:rPr>
          <w:rFonts w:ascii="仿宋" w:hAnsi="仿宋" w:eastAsia="仿宋" w:cs="宋体"/>
          <w:sz w:val="28"/>
          <w:szCs w:val="28"/>
        </w:rPr>
      </w:pPr>
      <w:r>
        <w:rPr>
          <w:rFonts w:hint="eastAsia" w:ascii="仿宋" w:hAnsi="仿宋" w:eastAsia="仿宋" w:cs="宋体"/>
          <w:sz w:val="28"/>
          <w:szCs w:val="28"/>
        </w:rPr>
        <w:t>（本页无正文，为合同签署页）</w:t>
      </w:r>
    </w:p>
    <w:tbl>
      <w:tblPr>
        <w:tblStyle w:val="6"/>
        <w:tblW w:w="47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3"/>
        <w:gridCol w:w="3870"/>
      </w:tblGrid>
      <w:tr w14:paraId="2D271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32" w:type="pct"/>
            <w:noWrap/>
            <w:vAlign w:val="center"/>
          </w:tcPr>
          <w:p w14:paraId="7C2D8CE4">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甲方</w:t>
            </w:r>
          </w:p>
        </w:tc>
        <w:tc>
          <w:tcPr>
            <w:tcW w:w="2367" w:type="pct"/>
            <w:noWrap/>
            <w:vAlign w:val="center"/>
          </w:tcPr>
          <w:p w14:paraId="10186DA9">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z w:val="24"/>
              </w:rPr>
              <w:t>乙方</w:t>
            </w:r>
          </w:p>
        </w:tc>
      </w:tr>
      <w:tr w14:paraId="25CA5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2632" w:type="pct"/>
            <w:noWrap/>
            <w:vAlign w:val="center"/>
          </w:tcPr>
          <w:p w14:paraId="3E3FA28B">
            <w:pPr>
              <w:autoSpaceDE w:val="0"/>
              <w:autoSpaceDN w:val="0"/>
              <w:adjustRightInd w:val="0"/>
              <w:jc w:val="center"/>
              <w:textAlignment w:val="baseline"/>
              <w:rPr>
                <w:rFonts w:hint="eastAsia" w:ascii="仿宋" w:hAnsi="仿宋" w:eastAsia="仿宋" w:cs="仿宋"/>
                <w:b/>
                <w:bCs/>
                <w:spacing w:val="-20"/>
                <w:kern w:val="0"/>
                <w:sz w:val="24"/>
                <w:lang w:val="en-US" w:eastAsia="zh-CN"/>
              </w:rPr>
            </w:pPr>
            <w:r>
              <w:rPr>
                <w:rFonts w:hint="eastAsia" w:ascii="仿宋" w:hAnsi="仿宋" w:eastAsia="仿宋" w:cs="仿宋"/>
                <w:spacing w:val="-20"/>
                <w:kern w:val="0"/>
                <w:sz w:val="24"/>
                <w:lang w:val="en-US" w:eastAsia="zh-CN"/>
              </w:rPr>
              <w:t>西安市数据局</w:t>
            </w:r>
          </w:p>
          <w:p w14:paraId="6AF6A9F7">
            <w:pPr>
              <w:autoSpaceDE w:val="0"/>
              <w:autoSpaceDN w:val="0"/>
              <w:adjustRightInd w:val="0"/>
              <w:jc w:val="center"/>
              <w:textAlignment w:val="baseline"/>
              <w:rPr>
                <w:rFonts w:hint="eastAsia" w:ascii="仿宋" w:hAnsi="仿宋" w:eastAsia="仿宋" w:cs="仿宋"/>
                <w:spacing w:val="-20"/>
                <w:kern w:val="0"/>
                <w:sz w:val="24"/>
              </w:rPr>
            </w:pPr>
            <w:r>
              <w:rPr>
                <w:rFonts w:hint="eastAsia" w:ascii="仿宋" w:hAnsi="仿宋" w:eastAsia="仿宋" w:cs="仿宋"/>
                <w:b/>
                <w:bCs/>
                <w:spacing w:val="-20"/>
                <w:kern w:val="0"/>
                <w:sz w:val="24"/>
              </w:rPr>
              <w:t>（盖章）</w:t>
            </w:r>
          </w:p>
        </w:tc>
        <w:tc>
          <w:tcPr>
            <w:tcW w:w="2367" w:type="pct"/>
            <w:noWrap/>
            <w:vAlign w:val="center"/>
          </w:tcPr>
          <w:p w14:paraId="76848E9D">
            <w:pPr>
              <w:autoSpaceDE w:val="0"/>
              <w:autoSpaceDN w:val="0"/>
              <w:adjustRightInd w:val="0"/>
              <w:jc w:val="center"/>
              <w:textAlignment w:val="baseline"/>
              <w:rPr>
                <w:rFonts w:hint="eastAsia" w:ascii="仿宋" w:hAnsi="仿宋" w:eastAsia="仿宋" w:cs="仿宋"/>
                <w:b/>
                <w:bCs/>
                <w:spacing w:val="-20"/>
                <w:kern w:val="0"/>
                <w:sz w:val="24"/>
              </w:rPr>
            </w:pPr>
            <w:r>
              <w:rPr>
                <w:rFonts w:hint="eastAsia" w:ascii="仿宋" w:hAnsi="仿宋" w:eastAsia="仿宋" w:cs="仿宋"/>
                <w:b/>
                <w:bCs/>
                <w:spacing w:val="-20"/>
                <w:kern w:val="0"/>
                <w:sz w:val="24"/>
              </w:rPr>
              <w:t>***</w:t>
            </w:r>
          </w:p>
          <w:p w14:paraId="166743AA">
            <w:pPr>
              <w:autoSpaceDE w:val="0"/>
              <w:autoSpaceDN w:val="0"/>
              <w:adjustRightInd w:val="0"/>
              <w:jc w:val="center"/>
              <w:textAlignment w:val="baseline"/>
              <w:rPr>
                <w:rFonts w:hint="eastAsia" w:ascii="仿宋" w:hAnsi="仿宋" w:eastAsia="仿宋" w:cs="仿宋"/>
                <w:b/>
                <w:bCs/>
                <w:spacing w:val="-20"/>
                <w:kern w:val="0"/>
                <w:sz w:val="24"/>
              </w:rPr>
            </w:pPr>
          </w:p>
          <w:p w14:paraId="1FD5F6C2">
            <w:pPr>
              <w:autoSpaceDE w:val="0"/>
              <w:autoSpaceDN w:val="0"/>
              <w:adjustRightInd w:val="0"/>
              <w:jc w:val="center"/>
              <w:textAlignment w:val="baseline"/>
              <w:rPr>
                <w:rFonts w:hint="eastAsia" w:ascii="仿宋" w:hAnsi="仿宋" w:eastAsia="仿宋" w:cs="仿宋"/>
                <w:sz w:val="24"/>
              </w:rPr>
            </w:pPr>
            <w:r>
              <w:rPr>
                <w:rFonts w:hint="eastAsia" w:ascii="仿宋" w:hAnsi="仿宋" w:eastAsia="仿宋" w:cs="仿宋"/>
                <w:b/>
                <w:bCs/>
                <w:spacing w:val="-20"/>
                <w:kern w:val="0"/>
                <w:sz w:val="24"/>
              </w:rPr>
              <w:t>（盖章）</w:t>
            </w:r>
          </w:p>
        </w:tc>
      </w:tr>
      <w:tr w14:paraId="5B9D0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632" w:type="pct"/>
            <w:noWrap/>
            <w:vAlign w:val="center"/>
          </w:tcPr>
          <w:p w14:paraId="78EE410D">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lang w:val="en-US" w:eastAsia="zh-CN"/>
              </w:rPr>
              <w:t>法定</w:t>
            </w:r>
            <w:r>
              <w:rPr>
                <w:rFonts w:hint="eastAsia" w:ascii="仿宋" w:hAnsi="仿宋" w:eastAsia="仿宋" w:cs="仿宋"/>
                <w:spacing w:val="-20"/>
                <w:kern w:val="0"/>
                <w:sz w:val="24"/>
              </w:rPr>
              <w:t>代表人</w:t>
            </w:r>
            <w:r>
              <w:rPr>
                <w:rFonts w:hint="eastAsia" w:ascii="仿宋" w:hAnsi="仿宋" w:eastAsia="仿宋" w:cs="仿宋"/>
                <w:sz w:val="24"/>
              </w:rPr>
              <w:t>（签字）</w:t>
            </w:r>
            <w:r>
              <w:rPr>
                <w:rFonts w:hint="eastAsia" w:ascii="仿宋" w:hAnsi="仿宋" w:eastAsia="仿宋" w:cs="仿宋"/>
                <w:spacing w:val="-20"/>
                <w:kern w:val="0"/>
                <w:sz w:val="24"/>
              </w:rPr>
              <w:t>：</w:t>
            </w:r>
          </w:p>
          <w:p w14:paraId="3CEEB041">
            <w:pPr>
              <w:autoSpaceDE w:val="0"/>
              <w:autoSpaceDN w:val="0"/>
              <w:adjustRightInd w:val="0"/>
              <w:textAlignment w:val="baseline"/>
              <w:rPr>
                <w:rFonts w:hint="eastAsia" w:ascii="仿宋" w:hAnsi="仿宋" w:eastAsia="仿宋" w:cs="仿宋"/>
                <w:spacing w:val="-20"/>
                <w:kern w:val="0"/>
                <w:sz w:val="24"/>
              </w:rPr>
            </w:pPr>
          </w:p>
        </w:tc>
        <w:tc>
          <w:tcPr>
            <w:tcW w:w="2367" w:type="pct"/>
            <w:noWrap/>
            <w:vAlign w:val="center"/>
          </w:tcPr>
          <w:p w14:paraId="6E1079CC">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r>
              <w:rPr>
                <w:rFonts w:hint="eastAsia" w:ascii="仿宋" w:hAnsi="仿宋" w:eastAsia="仿宋" w:cs="仿宋"/>
                <w:kern w:val="0"/>
                <w:sz w:val="24"/>
              </w:rPr>
              <w:t>法定代表人（签字）：</w:t>
            </w:r>
          </w:p>
          <w:p w14:paraId="75AB0E2A">
            <w:pPr>
              <w:keepNext/>
              <w:keepLines/>
              <w:numPr>
                <w:ilvl w:val="3"/>
                <w:numId w:val="0"/>
              </w:numPr>
              <w:tabs>
                <w:tab w:val="left" w:pos="432"/>
              </w:tabs>
              <w:adjustRightInd w:val="0"/>
              <w:spacing w:beforeAutospacing="1" w:afterAutospacing="1"/>
              <w:textAlignment w:val="baseline"/>
              <w:outlineLvl w:val="3"/>
              <w:rPr>
                <w:rFonts w:hint="eastAsia" w:ascii="仿宋" w:hAnsi="仿宋" w:eastAsia="仿宋" w:cs="仿宋"/>
                <w:kern w:val="0"/>
                <w:sz w:val="24"/>
              </w:rPr>
            </w:pPr>
          </w:p>
        </w:tc>
      </w:tr>
      <w:tr w14:paraId="40727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632" w:type="pct"/>
            <w:noWrap/>
            <w:vAlign w:val="center"/>
          </w:tcPr>
          <w:p w14:paraId="45C0A113">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地址：西安市凤城八路109号</w:t>
            </w:r>
          </w:p>
        </w:tc>
        <w:tc>
          <w:tcPr>
            <w:tcW w:w="2367" w:type="pct"/>
            <w:noWrap/>
            <w:vAlign w:val="center"/>
          </w:tcPr>
          <w:p w14:paraId="38E22A83">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地址：</w:t>
            </w:r>
          </w:p>
        </w:tc>
      </w:tr>
      <w:tr w14:paraId="32A5F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632" w:type="pct"/>
            <w:noWrap/>
            <w:vAlign w:val="center"/>
          </w:tcPr>
          <w:p w14:paraId="4CD7A6B8">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邮编：710000</w:t>
            </w:r>
          </w:p>
        </w:tc>
        <w:tc>
          <w:tcPr>
            <w:tcW w:w="2367" w:type="pct"/>
            <w:noWrap/>
            <w:vAlign w:val="center"/>
          </w:tcPr>
          <w:p w14:paraId="0E0B162A">
            <w:pPr>
              <w:autoSpaceDE w:val="0"/>
              <w:autoSpaceDN w:val="0"/>
              <w:adjustRightInd w:val="0"/>
              <w:textAlignment w:val="baseline"/>
              <w:rPr>
                <w:rFonts w:hint="eastAsia" w:ascii="仿宋" w:hAnsi="仿宋" w:eastAsia="仿宋" w:cs="仿宋"/>
                <w:spacing w:val="-20"/>
                <w:kern w:val="0"/>
                <w:sz w:val="24"/>
              </w:rPr>
            </w:pPr>
            <w:r>
              <w:rPr>
                <w:rFonts w:hint="eastAsia" w:ascii="仿宋" w:hAnsi="仿宋" w:eastAsia="仿宋" w:cs="仿宋"/>
                <w:spacing w:val="-20"/>
                <w:kern w:val="0"/>
                <w:sz w:val="24"/>
              </w:rPr>
              <w:t>邮编：</w:t>
            </w:r>
          </w:p>
        </w:tc>
      </w:tr>
      <w:tr w14:paraId="14E93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2632" w:type="pct"/>
            <w:noWrap/>
          </w:tcPr>
          <w:p w14:paraId="542ACA78">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开票信息：</w:t>
            </w:r>
          </w:p>
          <w:p w14:paraId="73AFB93E">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组织机构代码证编号：</w:t>
            </w:r>
          </w:p>
          <w:p w14:paraId="6CB88547">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地址：</w:t>
            </w:r>
          </w:p>
          <w:p w14:paraId="1D0BC437">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电话：</w:t>
            </w:r>
          </w:p>
          <w:p w14:paraId="1D8448D6">
            <w:pPr>
              <w:widowControl/>
              <w:autoSpaceDE w:val="0"/>
              <w:autoSpaceDN w:val="0"/>
              <w:adjustRightInd w:val="0"/>
              <w:snapToGrid w:val="0"/>
              <w:spacing w:line="600" w:lineRule="exact"/>
              <w:textAlignment w:val="baseline"/>
              <w:rPr>
                <w:rFonts w:hint="eastAsia" w:ascii="仿宋" w:hAnsi="仿宋" w:eastAsia="仿宋" w:cs="仿宋"/>
                <w:kern w:val="0"/>
                <w:sz w:val="24"/>
              </w:rPr>
            </w:pPr>
            <w:r>
              <w:rPr>
                <w:rFonts w:hint="eastAsia" w:ascii="仿宋" w:hAnsi="仿宋" w:eastAsia="仿宋" w:cs="仿宋"/>
                <w:sz w:val="24"/>
              </w:rPr>
              <w:t>发票类型：普票</w:t>
            </w:r>
          </w:p>
        </w:tc>
        <w:tc>
          <w:tcPr>
            <w:tcW w:w="2367" w:type="pct"/>
            <w:noWrap/>
          </w:tcPr>
          <w:p w14:paraId="4A320E95">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收款信息：</w:t>
            </w:r>
          </w:p>
          <w:p w14:paraId="44F64295">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收款人名称：</w:t>
            </w:r>
          </w:p>
          <w:p w14:paraId="485C3BC7">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组织机构代码证编号：</w:t>
            </w:r>
          </w:p>
          <w:p w14:paraId="08878972">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收款银行：</w:t>
            </w:r>
          </w:p>
          <w:p w14:paraId="73B0B988">
            <w:pPr>
              <w:widowControl/>
              <w:autoSpaceDE w:val="0"/>
              <w:autoSpaceDN w:val="0"/>
              <w:adjustRightInd w:val="0"/>
              <w:snapToGrid w:val="0"/>
              <w:spacing w:line="600" w:lineRule="exact"/>
              <w:textAlignment w:val="baseline"/>
              <w:rPr>
                <w:rFonts w:hint="eastAsia" w:ascii="仿宋" w:hAnsi="仿宋" w:eastAsia="仿宋" w:cs="仿宋"/>
                <w:sz w:val="24"/>
              </w:rPr>
            </w:pPr>
            <w:r>
              <w:rPr>
                <w:rFonts w:hint="eastAsia" w:ascii="仿宋" w:hAnsi="仿宋" w:eastAsia="仿宋" w:cs="仿宋"/>
                <w:sz w:val="24"/>
              </w:rPr>
              <w:t>账  号：</w:t>
            </w:r>
          </w:p>
          <w:p w14:paraId="78BB523E">
            <w:pPr>
              <w:widowControl/>
              <w:autoSpaceDE w:val="0"/>
              <w:autoSpaceDN w:val="0"/>
              <w:adjustRightInd w:val="0"/>
              <w:snapToGrid w:val="0"/>
              <w:spacing w:line="600" w:lineRule="exact"/>
              <w:textAlignment w:val="baseline"/>
              <w:rPr>
                <w:rFonts w:hint="eastAsia" w:ascii="仿宋" w:hAnsi="仿宋" w:eastAsia="仿宋" w:cs="仿宋"/>
                <w:kern w:val="0"/>
                <w:sz w:val="24"/>
              </w:rPr>
            </w:pPr>
            <w:r>
              <w:rPr>
                <w:rFonts w:hint="eastAsia" w:ascii="仿宋" w:hAnsi="仿宋" w:eastAsia="仿宋" w:cs="仿宋"/>
                <w:sz w:val="24"/>
              </w:rPr>
              <w:t>地址：</w:t>
            </w:r>
          </w:p>
        </w:tc>
      </w:tr>
      <w:tr w14:paraId="4078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2632" w:type="pct"/>
            <w:noWrap/>
            <w:vAlign w:val="center"/>
          </w:tcPr>
          <w:p w14:paraId="178522C6">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w:t>
            </w:r>
            <w:r>
              <w:rPr>
                <w:rFonts w:hint="eastAsia" w:ascii="仿宋" w:hAnsi="仿宋" w:eastAsia="仿宋" w:cs="仿宋"/>
                <w:spacing w:val="-20"/>
                <w:kern w:val="0"/>
                <w:sz w:val="24"/>
                <w:lang w:val="en-US" w:eastAsia="zh-CN"/>
              </w:rPr>
              <w:t xml:space="preserve"> </w:t>
            </w:r>
            <w:r>
              <w:rPr>
                <w:rFonts w:hint="eastAsia" w:ascii="仿宋" w:hAnsi="仿宋" w:eastAsia="仿宋" w:cs="仿宋"/>
                <w:spacing w:val="-20"/>
                <w:kern w:val="0"/>
                <w:sz w:val="24"/>
              </w:rPr>
              <w:t>期：    年    月    日</w:t>
            </w:r>
          </w:p>
        </w:tc>
        <w:tc>
          <w:tcPr>
            <w:tcW w:w="2367" w:type="pct"/>
            <w:noWrap/>
            <w:vAlign w:val="center"/>
          </w:tcPr>
          <w:p w14:paraId="08D90275">
            <w:pPr>
              <w:autoSpaceDE w:val="0"/>
              <w:autoSpaceDN w:val="0"/>
              <w:adjustRightInd w:val="0"/>
              <w:textAlignment w:val="baseline"/>
              <w:rPr>
                <w:rFonts w:hint="eastAsia" w:ascii="仿宋" w:hAnsi="仿宋" w:eastAsia="仿宋" w:cs="仿宋"/>
                <w:sz w:val="24"/>
              </w:rPr>
            </w:pPr>
            <w:r>
              <w:rPr>
                <w:rFonts w:hint="eastAsia" w:ascii="仿宋" w:hAnsi="仿宋" w:eastAsia="仿宋" w:cs="仿宋"/>
                <w:spacing w:val="-20"/>
                <w:kern w:val="0"/>
                <w:sz w:val="24"/>
              </w:rPr>
              <w:t>日</w:t>
            </w:r>
            <w:r>
              <w:rPr>
                <w:rFonts w:hint="eastAsia" w:ascii="仿宋" w:hAnsi="仿宋" w:eastAsia="仿宋" w:cs="仿宋"/>
                <w:spacing w:val="-20"/>
                <w:kern w:val="0"/>
                <w:sz w:val="24"/>
                <w:lang w:val="en-US" w:eastAsia="zh-CN"/>
              </w:rPr>
              <w:t xml:space="preserve"> </w:t>
            </w:r>
            <w:r>
              <w:rPr>
                <w:rFonts w:hint="eastAsia" w:ascii="仿宋" w:hAnsi="仿宋" w:eastAsia="仿宋" w:cs="仿宋"/>
                <w:spacing w:val="-20"/>
                <w:kern w:val="0"/>
                <w:sz w:val="24"/>
              </w:rPr>
              <w:t>期：    年   月     日</w:t>
            </w:r>
          </w:p>
        </w:tc>
      </w:tr>
    </w:tbl>
    <w:p w14:paraId="074A6A38">
      <w:pPr>
        <w:pStyle w:val="11"/>
        <w:rPr>
          <w:rFonts w:hint="eastAsia"/>
          <w:lang w:val="en-US" w:eastAsia="zh-Hans"/>
        </w:rPr>
        <w:sectPr>
          <w:pgSz w:w="11906" w:h="16838"/>
          <w:pgMar w:top="1440" w:right="1800" w:bottom="1440" w:left="1800" w:header="851" w:footer="992" w:gutter="0"/>
          <w:cols w:space="425" w:num="1"/>
          <w:docGrid w:type="lines" w:linePitch="312" w:charSpace="0"/>
        </w:sectPr>
      </w:pPr>
    </w:p>
    <w:p w14:paraId="3E1246C3">
      <w:pPr>
        <w:spacing w:line="576" w:lineRule="exact"/>
        <w:ind w:right="181" w:rightChars="86"/>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w:t>
      </w:r>
    </w:p>
    <w:p w14:paraId="0AE7E1D6">
      <w:pPr>
        <w:spacing w:line="54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服务绩效考核表</w:t>
      </w:r>
    </w:p>
    <w:p w14:paraId="37D8FCE5">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方正小标宋简体" w:hAnsi="方正小标宋简体" w:eastAsia="方正小标宋简体" w:cs="方正小标宋简体"/>
          <w:sz w:val="44"/>
          <w:szCs w:val="44"/>
          <w:lang w:val="en-US" w:eastAsia="zh-CN"/>
        </w:rPr>
      </w:pPr>
    </w:p>
    <w:tbl>
      <w:tblPr>
        <w:tblStyle w:val="7"/>
        <w:tblW w:w="9336" w:type="dxa"/>
        <w:tblInd w:w="-1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8"/>
        <w:gridCol w:w="696"/>
        <w:gridCol w:w="1272"/>
        <w:gridCol w:w="3900"/>
        <w:gridCol w:w="756"/>
        <w:gridCol w:w="732"/>
        <w:gridCol w:w="732"/>
      </w:tblGrid>
      <w:tr w14:paraId="0B96A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248" w:type="dxa"/>
            <w:noWrap w:val="0"/>
            <w:vAlign w:val="center"/>
          </w:tcPr>
          <w:p w14:paraId="1DFE05D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rPr>
            </w:pPr>
            <w:r>
              <w:rPr>
                <w:rFonts w:hint="eastAsia" w:ascii="黑体" w:hAnsi="黑体" w:eastAsia="黑体" w:cs="黑体"/>
                <w:i w:val="0"/>
                <w:iCs w:val="0"/>
                <w:caps w:val="0"/>
                <w:color w:val="0F1115"/>
                <w:spacing w:val="0"/>
                <w:sz w:val="24"/>
                <w:szCs w:val="24"/>
                <w:shd w:val="clear" w:color="auto" w:fill="FFFFFF"/>
              </w:rPr>
              <w:t>考核维度</w:t>
            </w:r>
          </w:p>
        </w:tc>
        <w:tc>
          <w:tcPr>
            <w:tcW w:w="696" w:type="dxa"/>
            <w:noWrap w:val="0"/>
            <w:vAlign w:val="center"/>
          </w:tcPr>
          <w:p w14:paraId="763CA1EC">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序号</w:t>
            </w:r>
          </w:p>
        </w:tc>
        <w:tc>
          <w:tcPr>
            <w:tcW w:w="1272" w:type="dxa"/>
            <w:noWrap w:val="0"/>
            <w:vAlign w:val="center"/>
          </w:tcPr>
          <w:p w14:paraId="731AD518">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考核指标</w:t>
            </w:r>
          </w:p>
        </w:tc>
        <w:tc>
          <w:tcPr>
            <w:tcW w:w="3900" w:type="dxa"/>
            <w:noWrap w:val="0"/>
            <w:vAlign w:val="center"/>
          </w:tcPr>
          <w:p w14:paraId="118D9FF4">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评分标准</w:t>
            </w:r>
          </w:p>
        </w:tc>
        <w:tc>
          <w:tcPr>
            <w:tcW w:w="756" w:type="dxa"/>
            <w:noWrap w:val="0"/>
            <w:vAlign w:val="center"/>
          </w:tcPr>
          <w:p w14:paraId="6C0D5A1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分值</w:t>
            </w:r>
          </w:p>
        </w:tc>
        <w:tc>
          <w:tcPr>
            <w:tcW w:w="732" w:type="dxa"/>
            <w:noWrap w:val="0"/>
            <w:vAlign w:val="center"/>
          </w:tcPr>
          <w:p w14:paraId="2499DF76">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得分</w:t>
            </w:r>
          </w:p>
        </w:tc>
        <w:tc>
          <w:tcPr>
            <w:tcW w:w="732" w:type="dxa"/>
            <w:noWrap w:val="0"/>
            <w:vAlign w:val="center"/>
          </w:tcPr>
          <w:p w14:paraId="7F514D4B">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黑体" w:eastAsia="黑体" w:cs="黑体"/>
                <w:sz w:val="24"/>
                <w:szCs w:val="24"/>
                <w:vertAlign w:val="baseline"/>
                <w:lang w:eastAsia="zh-CN"/>
              </w:rPr>
            </w:pPr>
            <w:r>
              <w:rPr>
                <w:rFonts w:hint="eastAsia" w:ascii="黑体" w:hAnsi="黑体" w:eastAsia="黑体" w:cs="黑体"/>
                <w:sz w:val="24"/>
                <w:szCs w:val="24"/>
                <w:vertAlign w:val="baseline"/>
                <w:lang w:eastAsia="zh-CN"/>
              </w:rPr>
              <w:t>备注</w:t>
            </w:r>
          </w:p>
        </w:tc>
      </w:tr>
      <w:tr w14:paraId="63C93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1248" w:type="dxa"/>
            <w:vMerge w:val="restart"/>
            <w:noWrap w:val="0"/>
            <w:vAlign w:val="center"/>
          </w:tcPr>
          <w:p w14:paraId="4F82E47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服务响应与时效性(35分)</w:t>
            </w:r>
          </w:p>
        </w:tc>
        <w:tc>
          <w:tcPr>
            <w:tcW w:w="696" w:type="dxa"/>
            <w:noWrap w:val="0"/>
            <w:vAlign w:val="center"/>
          </w:tcPr>
          <w:p w14:paraId="7412847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1</w:t>
            </w:r>
          </w:p>
        </w:tc>
        <w:tc>
          <w:tcPr>
            <w:tcW w:w="1272" w:type="dxa"/>
            <w:noWrap w:val="0"/>
            <w:vAlign w:val="center"/>
          </w:tcPr>
          <w:p w14:paraId="569BFEE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任务响应速度</w:t>
            </w:r>
          </w:p>
        </w:tc>
        <w:tc>
          <w:tcPr>
            <w:tcW w:w="3900" w:type="dxa"/>
            <w:noWrap w:val="0"/>
            <w:vAlign w:val="center"/>
          </w:tcPr>
          <w:p w14:paraId="68AF415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从甲方下达评审任务指令，到乙方确认承接并启动工作的响应时间。响应迅速、无拖延得满分；每发生1次无故延迟扣2分。</w:t>
            </w:r>
          </w:p>
        </w:tc>
        <w:tc>
          <w:tcPr>
            <w:tcW w:w="756" w:type="dxa"/>
            <w:noWrap w:val="0"/>
            <w:vAlign w:val="center"/>
          </w:tcPr>
          <w:p w14:paraId="741FAAE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1862CEE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6454000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699F3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1248" w:type="dxa"/>
            <w:vMerge w:val="continue"/>
            <w:noWrap w:val="0"/>
            <w:vAlign w:val="center"/>
          </w:tcPr>
          <w:p w14:paraId="5642467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097DE54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2</w:t>
            </w:r>
          </w:p>
        </w:tc>
        <w:tc>
          <w:tcPr>
            <w:tcW w:w="1272" w:type="dxa"/>
            <w:noWrap w:val="0"/>
            <w:vAlign w:val="center"/>
          </w:tcPr>
          <w:p w14:paraId="2836D2B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工作节点遵守</w:t>
            </w:r>
          </w:p>
        </w:tc>
        <w:tc>
          <w:tcPr>
            <w:tcW w:w="3900" w:type="dxa"/>
            <w:noWrap w:val="0"/>
            <w:vAlign w:val="center"/>
          </w:tcPr>
          <w:p w14:paraId="654C1AE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是否严格遵守合同约定的“10+5+</w:t>
            </w:r>
            <w:r>
              <w:rPr>
                <w:rFonts w:hint="eastAsia" w:ascii="仿宋_GB2312" w:hAnsi="仿宋_GB2312" w:eastAsia="仿宋_GB2312" w:cs="仿宋_GB2312"/>
                <w:i w:val="0"/>
                <w:iCs w:val="0"/>
                <w:caps w:val="0"/>
                <w:color w:val="0F1115"/>
                <w:spacing w:val="0"/>
                <w:sz w:val="24"/>
                <w:szCs w:val="24"/>
                <w:shd w:val="clear" w:color="auto" w:fill="FFFFFF"/>
                <w:lang w:val="en-US" w:eastAsia="zh-CN"/>
              </w:rPr>
              <w:t>10</w:t>
            </w:r>
            <w:r>
              <w:rPr>
                <w:rFonts w:hint="eastAsia" w:ascii="仿宋_GB2312" w:hAnsi="仿宋_GB2312" w:eastAsia="仿宋_GB2312" w:cs="仿宋_GB2312"/>
                <w:i w:val="0"/>
                <w:iCs w:val="0"/>
                <w:caps w:val="0"/>
                <w:color w:val="0F1115"/>
                <w:spacing w:val="0"/>
                <w:sz w:val="24"/>
                <w:szCs w:val="24"/>
                <w:shd w:val="clear" w:color="auto" w:fill="FFFFFF"/>
              </w:rPr>
              <w:t>”工作日内控节点（讨论稿、沟通、审定稿）。完全遵守得满分；每项节点出现1次无合理理由的延误扣3分。</w:t>
            </w:r>
          </w:p>
        </w:tc>
        <w:tc>
          <w:tcPr>
            <w:tcW w:w="756" w:type="dxa"/>
            <w:noWrap w:val="0"/>
            <w:vAlign w:val="center"/>
          </w:tcPr>
          <w:p w14:paraId="3827531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15</w:t>
            </w:r>
          </w:p>
        </w:tc>
        <w:tc>
          <w:tcPr>
            <w:tcW w:w="732" w:type="dxa"/>
            <w:noWrap w:val="0"/>
            <w:vAlign w:val="center"/>
          </w:tcPr>
          <w:p w14:paraId="618F5E4E">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640A58E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321D8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2" w:hRule="atLeast"/>
        </w:trPr>
        <w:tc>
          <w:tcPr>
            <w:tcW w:w="1248" w:type="dxa"/>
            <w:vMerge w:val="continue"/>
            <w:noWrap w:val="0"/>
            <w:vAlign w:val="center"/>
          </w:tcPr>
          <w:p w14:paraId="09BA0C3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7F18577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3</w:t>
            </w:r>
          </w:p>
        </w:tc>
        <w:tc>
          <w:tcPr>
            <w:tcW w:w="1272" w:type="dxa"/>
            <w:noWrap w:val="0"/>
            <w:vAlign w:val="center"/>
          </w:tcPr>
          <w:p w14:paraId="2DFF924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紧急任务处理</w:t>
            </w:r>
          </w:p>
        </w:tc>
        <w:tc>
          <w:tcPr>
            <w:tcW w:w="3900" w:type="dxa"/>
            <w:noWrap w:val="0"/>
            <w:vAlign w:val="center"/>
          </w:tcPr>
          <w:p w14:paraId="4930410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对于甲方安排的紧急评审任务，是否具备快速响应和调配资源的能力。能有效应对得满分；推诿或处理不力，每次扣2分。</w:t>
            </w:r>
          </w:p>
        </w:tc>
        <w:tc>
          <w:tcPr>
            <w:tcW w:w="756" w:type="dxa"/>
            <w:noWrap w:val="0"/>
            <w:vAlign w:val="center"/>
          </w:tcPr>
          <w:p w14:paraId="20D233F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7855FF0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50D47C4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005B8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trPr>
        <w:tc>
          <w:tcPr>
            <w:tcW w:w="1248" w:type="dxa"/>
            <w:vMerge w:val="restart"/>
            <w:noWrap w:val="0"/>
            <w:vAlign w:val="center"/>
          </w:tcPr>
          <w:p w14:paraId="194E9F9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沟通与协作质量(30分)</w:t>
            </w:r>
          </w:p>
        </w:tc>
        <w:tc>
          <w:tcPr>
            <w:tcW w:w="696" w:type="dxa"/>
            <w:noWrap w:val="0"/>
            <w:vAlign w:val="center"/>
          </w:tcPr>
          <w:p w14:paraId="372C389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4</w:t>
            </w:r>
          </w:p>
        </w:tc>
        <w:tc>
          <w:tcPr>
            <w:tcW w:w="1272" w:type="dxa"/>
            <w:noWrap w:val="0"/>
            <w:vAlign w:val="center"/>
          </w:tcPr>
          <w:p w14:paraId="05E80D2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沟通主动性</w:t>
            </w:r>
          </w:p>
        </w:tc>
        <w:tc>
          <w:tcPr>
            <w:tcW w:w="3900" w:type="dxa"/>
            <w:noWrap w:val="0"/>
            <w:vAlign w:val="center"/>
          </w:tcPr>
          <w:p w14:paraId="656E585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是否主动、定期向甲方汇报工作进展、潜在风险及需协调事项。沟通主动、信息透明得满分；被动、需催促每次扣1分。</w:t>
            </w:r>
          </w:p>
        </w:tc>
        <w:tc>
          <w:tcPr>
            <w:tcW w:w="756" w:type="dxa"/>
            <w:noWrap w:val="0"/>
            <w:vAlign w:val="center"/>
          </w:tcPr>
          <w:p w14:paraId="12F9074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615B1A2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1BA23B4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4293F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20" w:hRule="atLeast"/>
        </w:trPr>
        <w:tc>
          <w:tcPr>
            <w:tcW w:w="1248" w:type="dxa"/>
            <w:vMerge w:val="continue"/>
            <w:noWrap w:val="0"/>
            <w:vAlign w:val="center"/>
          </w:tcPr>
          <w:p w14:paraId="4EF2724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07E3E5A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5</w:t>
            </w:r>
          </w:p>
        </w:tc>
        <w:tc>
          <w:tcPr>
            <w:tcW w:w="1272" w:type="dxa"/>
            <w:noWrap w:val="0"/>
            <w:vAlign w:val="center"/>
          </w:tcPr>
          <w:p w14:paraId="379C086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沟通有效性</w:t>
            </w:r>
          </w:p>
        </w:tc>
        <w:tc>
          <w:tcPr>
            <w:tcW w:w="3900" w:type="dxa"/>
            <w:noWrap w:val="0"/>
            <w:vAlign w:val="center"/>
          </w:tcPr>
          <w:p w14:paraId="4C9F7E8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与甲方及项目责任单位的沟通是否清晰、专业、有建设性，能否有效推动问题解决。沟通高效、无误解得满分；因沟通不畅导致工作反复，每次扣2分。</w:t>
            </w:r>
          </w:p>
        </w:tc>
        <w:tc>
          <w:tcPr>
            <w:tcW w:w="756" w:type="dxa"/>
            <w:noWrap w:val="0"/>
            <w:vAlign w:val="center"/>
          </w:tcPr>
          <w:p w14:paraId="5E034D4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51B0742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29D41F6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7E90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32" w:hRule="atLeast"/>
        </w:trPr>
        <w:tc>
          <w:tcPr>
            <w:tcW w:w="1248" w:type="dxa"/>
            <w:vMerge w:val="continue"/>
            <w:noWrap w:val="0"/>
            <w:vAlign w:val="center"/>
          </w:tcPr>
          <w:p w14:paraId="68FAAB3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22A3569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6</w:t>
            </w:r>
          </w:p>
        </w:tc>
        <w:tc>
          <w:tcPr>
            <w:tcW w:w="1272" w:type="dxa"/>
            <w:noWrap w:val="0"/>
            <w:vAlign w:val="center"/>
          </w:tcPr>
          <w:p w14:paraId="3AA0A2A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协调配合度</w:t>
            </w:r>
          </w:p>
        </w:tc>
        <w:tc>
          <w:tcPr>
            <w:tcW w:w="3900" w:type="dxa"/>
            <w:noWrap w:val="0"/>
            <w:vAlign w:val="center"/>
          </w:tcPr>
          <w:p w14:paraId="652EDC7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在跨部门、多项目并行时，能否积极配合甲方统筹安排，服从调度。配合度高得满分；出现推诿、不配合情况，每次扣2分。</w:t>
            </w:r>
          </w:p>
        </w:tc>
        <w:tc>
          <w:tcPr>
            <w:tcW w:w="756" w:type="dxa"/>
            <w:noWrap w:val="0"/>
            <w:vAlign w:val="center"/>
          </w:tcPr>
          <w:p w14:paraId="26991CAC">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732" w:type="dxa"/>
            <w:noWrap w:val="0"/>
            <w:vAlign w:val="center"/>
          </w:tcPr>
          <w:p w14:paraId="5ABF885F">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7763666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0430E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32" w:hRule="atLeast"/>
        </w:trPr>
        <w:tc>
          <w:tcPr>
            <w:tcW w:w="1248" w:type="dxa"/>
            <w:vMerge w:val="restart"/>
            <w:noWrap w:val="0"/>
            <w:vAlign w:val="center"/>
          </w:tcPr>
          <w:p w14:paraId="4794FCB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团队与资源保障(25分)</w:t>
            </w:r>
          </w:p>
        </w:tc>
        <w:tc>
          <w:tcPr>
            <w:tcW w:w="696" w:type="dxa"/>
            <w:noWrap w:val="0"/>
            <w:vAlign w:val="center"/>
          </w:tcPr>
          <w:p w14:paraId="5FEE7BA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7</w:t>
            </w:r>
          </w:p>
        </w:tc>
        <w:tc>
          <w:tcPr>
            <w:tcW w:w="1272" w:type="dxa"/>
            <w:noWrap w:val="0"/>
            <w:vAlign w:val="center"/>
          </w:tcPr>
          <w:p w14:paraId="59C8F00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核心人员稳定性</w:t>
            </w:r>
          </w:p>
        </w:tc>
        <w:tc>
          <w:tcPr>
            <w:tcW w:w="3900" w:type="dxa"/>
            <w:noWrap w:val="0"/>
            <w:vAlign w:val="center"/>
          </w:tcPr>
          <w:p w14:paraId="3094B28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项目负责人及承诺的核心技术人员</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w:t>
            </w:r>
            <w:r>
              <w:rPr>
                <w:rFonts w:hint="eastAsia" w:ascii="仿宋_GB2312" w:hAnsi="仿宋_GB2312" w:eastAsia="仿宋_GB2312" w:cs="仿宋_GB2312"/>
                <w:i w:val="0"/>
                <w:iCs w:val="0"/>
                <w:caps w:val="0"/>
                <w:color w:val="0F1115"/>
                <w:spacing w:val="0"/>
                <w:sz w:val="24"/>
                <w:szCs w:val="24"/>
                <w:shd w:val="clear" w:color="auto" w:fill="FFFFFF"/>
              </w:rPr>
              <w:t>在服务期内是否保持稳定。完全稳定得满分；未经甲方书面同意更换1人次扣3分。</w:t>
            </w:r>
          </w:p>
        </w:tc>
        <w:tc>
          <w:tcPr>
            <w:tcW w:w="756" w:type="dxa"/>
            <w:noWrap w:val="0"/>
            <w:vAlign w:val="center"/>
          </w:tcPr>
          <w:p w14:paraId="6AC213B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9</w:t>
            </w:r>
          </w:p>
        </w:tc>
        <w:tc>
          <w:tcPr>
            <w:tcW w:w="732" w:type="dxa"/>
            <w:noWrap w:val="0"/>
            <w:vAlign w:val="center"/>
          </w:tcPr>
          <w:p w14:paraId="2F865A4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752751C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3A237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vMerge w:val="continue"/>
            <w:noWrap w:val="0"/>
            <w:vAlign w:val="center"/>
          </w:tcPr>
          <w:p w14:paraId="54C50C3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609189D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8</w:t>
            </w:r>
          </w:p>
        </w:tc>
        <w:tc>
          <w:tcPr>
            <w:tcW w:w="1272" w:type="dxa"/>
            <w:noWrap w:val="0"/>
            <w:vAlign w:val="center"/>
          </w:tcPr>
          <w:p w14:paraId="5C38B56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团队专业表现</w:t>
            </w:r>
          </w:p>
        </w:tc>
        <w:tc>
          <w:tcPr>
            <w:tcW w:w="3900" w:type="dxa"/>
            <w:noWrap w:val="0"/>
            <w:vAlign w:val="center"/>
          </w:tcPr>
          <w:p w14:paraId="12D5AD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团队成员在评审会议、现场调研、沟通答疑中表现出的专业素养、业务能力和职业态度。专业、敬业得满分；出现专业性失误或态度问题，每次扣2分。</w:t>
            </w:r>
          </w:p>
        </w:tc>
        <w:tc>
          <w:tcPr>
            <w:tcW w:w="756" w:type="dxa"/>
            <w:noWrap w:val="0"/>
            <w:vAlign w:val="center"/>
          </w:tcPr>
          <w:p w14:paraId="0D6F5F9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732" w:type="dxa"/>
            <w:noWrap w:val="0"/>
            <w:vAlign w:val="center"/>
          </w:tcPr>
          <w:p w14:paraId="55D5B1C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5667C77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5314E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1248" w:type="dxa"/>
            <w:vMerge w:val="continue"/>
            <w:noWrap w:val="0"/>
            <w:vAlign w:val="center"/>
          </w:tcPr>
          <w:p w14:paraId="5244E1C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p>
        </w:tc>
        <w:tc>
          <w:tcPr>
            <w:tcW w:w="696" w:type="dxa"/>
            <w:noWrap w:val="0"/>
            <w:vAlign w:val="center"/>
          </w:tcPr>
          <w:p w14:paraId="69D7529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lang w:val="en-US" w:eastAsia="zh-CN"/>
              </w:rPr>
            </w:pPr>
            <w:r>
              <w:rPr>
                <w:rFonts w:hint="eastAsia" w:ascii="仿宋_GB2312" w:hAnsi="仿宋_GB2312" w:eastAsia="仿宋_GB2312" w:cs="仿宋_GB2312"/>
                <w:b w:val="0"/>
                <w:bCs w:val="0"/>
                <w:sz w:val="24"/>
                <w:szCs w:val="24"/>
                <w:vertAlign w:val="baseline"/>
                <w:lang w:val="en-US" w:eastAsia="zh-CN"/>
              </w:rPr>
              <w:t>9</w:t>
            </w:r>
          </w:p>
        </w:tc>
        <w:tc>
          <w:tcPr>
            <w:tcW w:w="1272" w:type="dxa"/>
            <w:noWrap w:val="0"/>
            <w:vAlign w:val="center"/>
          </w:tcPr>
          <w:p w14:paraId="6C1E300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vertAlign w:val="baseline"/>
              </w:rPr>
            </w:pPr>
            <w:r>
              <w:rPr>
                <w:rStyle w:val="9"/>
                <w:rFonts w:hint="eastAsia" w:ascii="仿宋_GB2312" w:hAnsi="仿宋_GB2312" w:eastAsia="仿宋_GB2312" w:cs="仿宋_GB2312"/>
                <w:b w:val="0"/>
                <w:bCs w:val="0"/>
                <w:i w:val="0"/>
                <w:iCs w:val="0"/>
                <w:caps w:val="0"/>
                <w:color w:val="0F1115"/>
                <w:spacing w:val="0"/>
                <w:sz w:val="24"/>
                <w:szCs w:val="24"/>
                <w:shd w:val="clear" w:color="auto" w:fill="FFFFFF"/>
              </w:rPr>
              <w:t>资源投入充足性</w:t>
            </w:r>
          </w:p>
        </w:tc>
        <w:tc>
          <w:tcPr>
            <w:tcW w:w="3900" w:type="dxa"/>
            <w:noWrap w:val="0"/>
            <w:vAlign w:val="center"/>
          </w:tcPr>
          <w:p w14:paraId="470C9A0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sz w:val="24"/>
                <w:szCs w:val="24"/>
                <w:vertAlign w:val="baseline"/>
              </w:rPr>
            </w:pPr>
            <w:r>
              <w:rPr>
                <w:rFonts w:hint="eastAsia" w:ascii="仿宋_GB2312" w:hAnsi="仿宋_GB2312" w:eastAsia="仿宋_GB2312" w:cs="仿宋_GB2312"/>
                <w:i w:val="0"/>
                <w:iCs w:val="0"/>
                <w:caps w:val="0"/>
                <w:color w:val="0F1115"/>
                <w:spacing w:val="0"/>
                <w:sz w:val="24"/>
                <w:szCs w:val="24"/>
                <w:shd w:val="clear" w:color="auto" w:fill="FFFFFF"/>
              </w:rPr>
              <w:t>是否按承诺投入足够数量和质量的人力资源，</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工作团队人员不少于</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w:t>
            </w:r>
            <w:r>
              <w:rPr>
                <w:rFonts w:hint="eastAsia" w:ascii="仿宋_GB2312" w:hAnsi="仿宋_GB2312" w:eastAsia="仿宋_GB2312" w:cs="仿宋_GB2312"/>
                <w:i w:val="0"/>
                <w:iCs w:val="0"/>
                <w:caps w:val="0"/>
                <w:color w:val="0F1115"/>
                <w:spacing w:val="0"/>
                <w:sz w:val="24"/>
                <w:szCs w:val="24"/>
                <w:shd w:val="clear" w:color="auto" w:fill="FFFFFF"/>
              </w:rPr>
              <w:t>确保多项评审任务能并行推进、不受影响。</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工作团队人员不少于</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3人且</w:t>
            </w:r>
            <w:r>
              <w:rPr>
                <w:rFonts w:hint="eastAsia" w:ascii="仿宋_GB2312" w:hAnsi="仿宋_GB2312" w:eastAsia="仿宋_GB2312" w:cs="仿宋_GB2312"/>
                <w:i w:val="0"/>
                <w:iCs w:val="0"/>
                <w:caps w:val="0"/>
                <w:color w:val="0F1115"/>
                <w:spacing w:val="0"/>
                <w:sz w:val="24"/>
                <w:szCs w:val="24"/>
                <w:shd w:val="clear" w:color="auto" w:fill="FFFFFF"/>
              </w:rPr>
              <w:t>资源充足得满分；</w:t>
            </w:r>
            <w:r>
              <w:rPr>
                <w:rFonts w:hint="eastAsia" w:ascii="仿宋_GB2312" w:hAnsi="仿宋_GB2312" w:eastAsia="仿宋_GB2312" w:cs="仿宋_GB2312"/>
                <w:i w:val="0"/>
                <w:iCs w:val="0"/>
                <w:caps w:val="0"/>
                <w:color w:val="0F1115"/>
                <w:spacing w:val="0"/>
                <w:sz w:val="24"/>
                <w:szCs w:val="24"/>
                <w:shd w:val="clear" w:color="auto" w:fill="FFFFFF"/>
                <w:lang w:eastAsia="zh-CN"/>
              </w:rPr>
              <w:t>工作团队人员不足</w:t>
            </w:r>
            <w:r>
              <w:rPr>
                <w:rFonts w:hint="eastAsia" w:ascii="仿宋_GB2312" w:hAnsi="仿宋_GB2312" w:eastAsia="仿宋_GB2312" w:cs="仿宋_GB2312"/>
                <w:i w:val="0"/>
                <w:iCs w:val="0"/>
                <w:caps w:val="0"/>
                <w:color w:val="0F1115"/>
                <w:spacing w:val="0"/>
                <w:sz w:val="24"/>
                <w:szCs w:val="24"/>
                <w:shd w:val="clear" w:color="auto" w:fill="FFFFFF"/>
                <w:lang w:val="en-US" w:eastAsia="zh-CN"/>
              </w:rPr>
              <w:t>3人，扣4分；</w:t>
            </w:r>
            <w:r>
              <w:rPr>
                <w:rFonts w:hint="eastAsia" w:ascii="仿宋_GB2312" w:hAnsi="仿宋_GB2312" w:eastAsia="仿宋_GB2312" w:cs="仿宋_GB2312"/>
                <w:i w:val="0"/>
                <w:iCs w:val="0"/>
                <w:caps w:val="0"/>
                <w:color w:val="0F1115"/>
                <w:spacing w:val="0"/>
                <w:sz w:val="24"/>
                <w:szCs w:val="24"/>
                <w:shd w:val="clear" w:color="auto" w:fill="FFFFFF"/>
              </w:rPr>
              <w:t>因人手不足影响进度，每次扣2分。</w:t>
            </w:r>
          </w:p>
        </w:tc>
        <w:tc>
          <w:tcPr>
            <w:tcW w:w="756" w:type="dxa"/>
            <w:noWrap w:val="0"/>
            <w:vAlign w:val="center"/>
          </w:tcPr>
          <w:p w14:paraId="7DAD54B0">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732" w:type="dxa"/>
            <w:noWrap w:val="0"/>
            <w:vAlign w:val="center"/>
          </w:tcPr>
          <w:p w14:paraId="0BC69603">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384F9B7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r w14:paraId="34A81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1248" w:type="dxa"/>
            <w:vMerge w:val="restart"/>
            <w:noWrap w:val="0"/>
            <w:vAlign w:val="center"/>
          </w:tcPr>
          <w:p w14:paraId="75D4FC4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合规与风险控制(10分)</w:t>
            </w:r>
          </w:p>
        </w:tc>
        <w:tc>
          <w:tcPr>
            <w:tcW w:w="696" w:type="dxa"/>
            <w:vMerge w:val="restart"/>
            <w:noWrap w:val="0"/>
            <w:vAlign w:val="center"/>
          </w:tcPr>
          <w:p w14:paraId="46578C9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lang w:val="en-US" w:eastAsia="zh-CN"/>
              </w:rPr>
            </w:pPr>
            <w:r>
              <w:rPr>
                <w:rFonts w:hint="eastAsia" w:ascii="仿宋_GB2312" w:hAnsi="仿宋_GB2312" w:eastAsia="仿宋_GB2312" w:cs="仿宋_GB2312"/>
                <w:b w:val="0"/>
                <w:bCs w:val="0"/>
                <w:sz w:val="24"/>
                <w:szCs w:val="24"/>
                <w:highlight w:val="none"/>
                <w:vertAlign w:val="baseline"/>
                <w:lang w:val="en-US" w:eastAsia="zh-CN"/>
              </w:rPr>
              <w:t>10</w:t>
            </w:r>
          </w:p>
        </w:tc>
        <w:tc>
          <w:tcPr>
            <w:tcW w:w="1272" w:type="dxa"/>
            <w:noWrap w:val="0"/>
            <w:vAlign w:val="center"/>
          </w:tcPr>
          <w:p w14:paraId="1E52C94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i w:val="0"/>
                <w:iCs w:val="0"/>
                <w:caps w:val="0"/>
                <w:color w:val="0F1115"/>
                <w:spacing w:val="0"/>
                <w:kern w:val="2"/>
                <w:sz w:val="24"/>
                <w:szCs w:val="24"/>
                <w:highlight w:val="none"/>
                <w:shd w:val="clear" w:color="auto" w:fill="FFFFFF"/>
                <w:lang w:val="en-US" w:eastAsia="zh-CN" w:bidi="ar-SA"/>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lang w:eastAsia="zh-CN"/>
              </w:rPr>
              <w:t>重大项目</w:t>
            </w: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报告合规性与准确性</w:t>
            </w:r>
          </w:p>
        </w:tc>
        <w:tc>
          <w:tcPr>
            <w:tcW w:w="3900" w:type="dxa"/>
            <w:noWrap w:val="0"/>
            <w:vAlign w:val="center"/>
          </w:tcPr>
          <w:p w14:paraId="30D3A2B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仿宋_GB2312" w:hAnsi="仿宋_GB2312" w:eastAsia="仿宋_GB2312" w:cs="仿宋_GB2312"/>
                <w:i w:val="0"/>
                <w:iCs w:val="0"/>
                <w:caps w:val="0"/>
                <w:color w:val="0F1115"/>
                <w:spacing w:val="0"/>
                <w:kern w:val="2"/>
                <w:sz w:val="24"/>
                <w:szCs w:val="24"/>
                <w:highlight w:val="none"/>
                <w:shd w:val="clear" w:color="auto" w:fill="FFFFFF"/>
                <w:lang w:val="en-US" w:eastAsia="zh-CN" w:bidi="ar-SA"/>
              </w:rPr>
            </w:pP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重大项目</w:t>
            </w:r>
            <w:r>
              <w:rPr>
                <w:rFonts w:hint="eastAsia" w:ascii="仿宋_GB2312" w:hAnsi="仿宋_GB2312" w:eastAsia="仿宋_GB2312" w:cs="仿宋_GB2312"/>
                <w:i w:val="0"/>
                <w:iCs w:val="0"/>
                <w:caps w:val="0"/>
                <w:color w:val="0F1115"/>
                <w:spacing w:val="0"/>
                <w:sz w:val="24"/>
                <w:szCs w:val="24"/>
                <w:highlight w:val="none"/>
                <w:shd w:val="clear" w:color="auto" w:fill="FFFFFF"/>
              </w:rPr>
              <w:t>报告</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的</w:t>
            </w:r>
            <w:r>
              <w:rPr>
                <w:rFonts w:hint="eastAsia" w:ascii="仿宋_GB2312" w:hAnsi="仿宋_GB2312" w:eastAsia="仿宋_GB2312" w:cs="仿宋_GB2312"/>
                <w:i w:val="0"/>
                <w:iCs w:val="0"/>
                <w:caps w:val="0"/>
                <w:color w:val="0F1115"/>
                <w:spacing w:val="0"/>
                <w:sz w:val="24"/>
                <w:szCs w:val="24"/>
                <w:highlight w:val="none"/>
                <w:shd w:val="clear" w:color="auto" w:fill="FFFFFF"/>
              </w:rPr>
              <w:t>测算过程是否清晰，数据是否真实准确，结论是否客观公正。</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对重大项目报告进行抽检，出现报告测算过程不清晰，数据不真实准确，结论不客观公正现象，本项为</w:t>
            </w:r>
            <w:r>
              <w:rPr>
                <w:rFonts w:hint="eastAsia" w:ascii="仿宋_GB2312" w:hAnsi="仿宋_GB2312" w:eastAsia="仿宋_GB2312" w:cs="仿宋_GB2312"/>
                <w:i w:val="0"/>
                <w:iCs w:val="0"/>
                <w:caps w:val="0"/>
                <w:color w:val="0F1115"/>
                <w:spacing w:val="0"/>
                <w:sz w:val="24"/>
                <w:szCs w:val="24"/>
                <w:highlight w:val="none"/>
                <w:shd w:val="clear" w:color="auto" w:fill="FFFFFF"/>
                <w:lang w:val="en-US" w:eastAsia="zh-CN"/>
              </w:rPr>
              <w:t>0分。</w:t>
            </w:r>
          </w:p>
        </w:tc>
        <w:tc>
          <w:tcPr>
            <w:tcW w:w="756" w:type="dxa"/>
            <w:noWrap w:val="0"/>
            <w:vAlign w:val="center"/>
          </w:tcPr>
          <w:p w14:paraId="4C9F439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sz w:val="24"/>
                <w:szCs w:val="24"/>
                <w:highlight w:val="none"/>
                <w:vertAlign w:val="baseline"/>
                <w:lang w:val="en-US" w:eastAsia="zh-CN"/>
              </w:rPr>
              <w:t>5</w:t>
            </w:r>
          </w:p>
        </w:tc>
        <w:tc>
          <w:tcPr>
            <w:tcW w:w="732" w:type="dxa"/>
            <w:noWrap w:val="0"/>
            <w:vAlign w:val="center"/>
          </w:tcPr>
          <w:p w14:paraId="36999A8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732" w:type="dxa"/>
            <w:noWrap w:val="0"/>
            <w:vAlign w:val="center"/>
          </w:tcPr>
          <w:p w14:paraId="43641B7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14:paraId="0F674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1248" w:type="dxa"/>
            <w:vMerge w:val="continue"/>
            <w:noWrap w:val="0"/>
            <w:vAlign w:val="center"/>
          </w:tcPr>
          <w:p w14:paraId="78E29E2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pPr>
          </w:p>
        </w:tc>
        <w:tc>
          <w:tcPr>
            <w:tcW w:w="696" w:type="dxa"/>
            <w:vMerge w:val="continue"/>
            <w:noWrap w:val="0"/>
            <w:vAlign w:val="center"/>
          </w:tcPr>
          <w:p w14:paraId="404DF4B2">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sz w:val="24"/>
                <w:szCs w:val="24"/>
                <w:highlight w:val="none"/>
                <w:vertAlign w:val="baseline"/>
                <w:lang w:val="en-US" w:eastAsia="zh-CN"/>
              </w:rPr>
            </w:pPr>
          </w:p>
        </w:tc>
        <w:tc>
          <w:tcPr>
            <w:tcW w:w="1272" w:type="dxa"/>
            <w:noWrap w:val="0"/>
            <w:vAlign w:val="center"/>
          </w:tcPr>
          <w:p w14:paraId="594FE58A">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val="0"/>
                <w:bCs w:val="0"/>
                <w:kern w:val="2"/>
                <w:sz w:val="24"/>
                <w:szCs w:val="24"/>
                <w:highlight w:val="none"/>
                <w:vertAlign w:val="baseline"/>
                <w:lang w:val="en-US" w:eastAsia="zh-CN" w:bidi="ar-SA"/>
              </w:rPr>
            </w:pPr>
            <w:r>
              <w:rPr>
                <w:rStyle w:val="9"/>
                <w:rFonts w:hint="eastAsia" w:ascii="仿宋_GB2312" w:hAnsi="仿宋_GB2312" w:eastAsia="仿宋_GB2312" w:cs="仿宋_GB2312"/>
                <w:b w:val="0"/>
                <w:bCs w:val="0"/>
                <w:i w:val="0"/>
                <w:iCs w:val="0"/>
                <w:caps w:val="0"/>
                <w:color w:val="0F1115"/>
                <w:spacing w:val="0"/>
                <w:sz w:val="24"/>
                <w:szCs w:val="24"/>
                <w:highlight w:val="none"/>
                <w:shd w:val="clear" w:color="auto" w:fill="FFFFFF"/>
              </w:rPr>
              <w:t>保密义务履行</w:t>
            </w:r>
          </w:p>
        </w:tc>
        <w:tc>
          <w:tcPr>
            <w:tcW w:w="3900" w:type="dxa"/>
            <w:noWrap w:val="0"/>
            <w:vAlign w:val="center"/>
          </w:tcPr>
          <w:p w14:paraId="56034A4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i w:val="0"/>
                <w:iCs w:val="0"/>
                <w:caps w:val="0"/>
                <w:color w:val="0F1115"/>
                <w:spacing w:val="0"/>
                <w:sz w:val="24"/>
                <w:szCs w:val="24"/>
                <w:highlight w:val="none"/>
                <w:shd w:val="clear" w:color="auto" w:fill="FFFFFF"/>
              </w:rPr>
              <w:t>是否发生任何形式的信息泄露。</w:t>
            </w:r>
            <w:r>
              <w:rPr>
                <w:rFonts w:hint="eastAsia" w:ascii="仿宋_GB2312" w:hAnsi="仿宋_GB2312" w:eastAsia="仿宋_GB2312" w:cs="仿宋_GB2312"/>
                <w:i w:val="0"/>
                <w:iCs w:val="0"/>
                <w:caps w:val="0"/>
                <w:color w:val="0F1115"/>
                <w:spacing w:val="0"/>
                <w:sz w:val="24"/>
                <w:szCs w:val="24"/>
                <w:highlight w:val="none"/>
                <w:shd w:val="clear" w:color="auto" w:fill="FFFFFF"/>
                <w:lang w:eastAsia="zh-CN"/>
              </w:rPr>
              <w:t>未发生</w:t>
            </w:r>
            <w:r>
              <w:rPr>
                <w:rFonts w:hint="eastAsia" w:ascii="仿宋_GB2312" w:hAnsi="仿宋_GB2312" w:eastAsia="仿宋_GB2312" w:cs="仿宋_GB2312"/>
                <w:i w:val="0"/>
                <w:iCs w:val="0"/>
                <w:caps w:val="0"/>
                <w:color w:val="0F1115"/>
                <w:spacing w:val="0"/>
                <w:sz w:val="24"/>
                <w:szCs w:val="24"/>
                <w:highlight w:val="none"/>
                <w:shd w:val="clear" w:color="auto" w:fill="FFFFFF"/>
              </w:rPr>
              <w:t>泄密事件得满分；发生泄密事件本项为0分，并启动违约追责。</w:t>
            </w:r>
          </w:p>
        </w:tc>
        <w:tc>
          <w:tcPr>
            <w:tcW w:w="756" w:type="dxa"/>
            <w:noWrap w:val="0"/>
            <w:vAlign w:val="center"/>
          </w:tcPr>
          <w:p w14:paraId="25B9FE3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sz w:val="24"/>
                <w:szCs w:val="24"/>
                <w:highlight w:val="none"/>
                <w:vertAlign w:val="baseline"/>
                <w:lang w:val="en-US" w:eastAsia="zh-CN"/>
              </w:rPr>
              <w:t>5</w:t>
            </w:r>
          </w:p>
        </w:tc>
        <w:tc>
          <w:tcPr>
            <w:tcW w:w="732" w:type="dxa"/>
            <w:noWrap w:val="0"/>
            <w:vAlign w:val="center"/>
          </w:tcPr>
          <w:p w14:paraId="2BC3B4C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c>
          <w:tcPr>
            <w:tcW w:w="732" w:type="dxa"/>
            <w:noWrap w:val="0"/>
            <w:vAlign w:val="center"/>
          </w:tcPr>
          <w:p w14:paraId="679F269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p>
        </w:tc>
      </w:tr>
      <w:tr w14:paraId="1F355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7116" w:type="dxa"/>
            <w:gridSpan w:val="4"/>
            <w:noWrap w:val="0"/>
            <w:vAlign w:val="center"/>
          </w:tcPr>
          <w:p w14:paraId="0F4E9454">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eastAsia="zh-CN"/>
              </w:rPr>
            </w:pPr>
            <w:r>
              <w:rPr>
                <w:rFonts w:hint="eastAsia" w:ascii="仿宋_GB2312" w:hAnsi="仿宋_GB2312" w:eastAsia="仿宋_GB2312" w:cs="仿宋_GB2312"/>
                <w:i w:val="0"/>
                <w:iCs w:val="0"/>
                <w:caps w:val="0"/>
                <w:color w:val="0F1115"/>
                <w:spacing w:val="0"/>
                <w:sz w:val="24"/>
                <w:szCs w:val="24"/>
                <w:shd w:val="clear" w:color="auto" w:fill="FFFFFF"/>
                <w:lang w:eastAsia="zh-CN"/>
              </w:rPr>
              <w:t>合计</w:t>
            </w:r>
          </w:p>
        </w:tc>
        <w:tc>
          <w:tcPr>
            <w:tcW w:w="756" w:type="dxa"/>
            <w:noWrap w:val="0"/>
            <w:vAlign w:val="center"/>
          </w:tcPr>
          <w:p w14:paraId="2390CB2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100</w:t>
            </w:r>
          </w:p>
        </w:tc>
        <w:tc>
          <w:tcPr>
            <w:tcW w:w="732" w:type="dxa"/>
            <w:noWrap w:val="0"/>
            <w:vAlign w:val="center"/>
          </w:tcPr>
          <w:p w14:paraId="5E32CA3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c>
          <w:tcPr>
            <w:tcW w:w="732" w:type="dxa"/>
            <w:noWrap w:val="0"/>
            <w:vAlign w:val="center"/>
          </w:tcPr>
          <w:p w14:paraId="42D5A08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sz w:val="24"/>
                <w:szCs w:val="24"/>
                <w:vertAlign w:val="baseline"/>
              </w:rPr>
            </w:pPr>
          </w:p>
        </w:tc>
      </w:tr>
    </w:tbl>
    <w:p w14:paraId="69CF6E44">
      <w:pPr>
        <w:rPr>
          <w:rFonts w:hint="eastAsia" w:ascii="黑体" w:hAnsi="黑体" w:eastAsia="黑体" w:cs="黑体"/>
          <w:sz w:val="32"/>
          <w:szCs w:val="32"/>
          <w:lang w:val="en-US" w:eastAsia="zh-CN"/>
        </w:rPr>
      </w:pPr>
    </w:p>
    <w:p w14:paraId="546F4D94">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绩效考核系数计算方法：</w:t>
      </w:r>
    </w:p>
    <w:p w14:paraId="251B13C0">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lang w:val="en-US" w:eastAsia="zh-CN"/>
        </w:rPr>
      </w:pPr>
    </w:p>
    <w:tbl>
      <w:tblPr>
        <w:tblStyle w:val="6"/>
        <w:tblW w:w="0" w:type="auto"/>
        <w:tblInd w:w="8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12"/>
        <w:gridCol w:w="3617"/>
      </w:tblGrid>
      <w:tr w14:paraId="1AB3A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3C80A3C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i w:val="0"/>
                <w:iCs w:val="0"/>
                <w:caps w:val="0"/>
                <w:color w:val="0F1115"/>
                <w:spacing w:val="0"/>
                <w:sz w:val="24"/>
                <w:szCs w:val="24"/>
                <w:shd w:val="clear" w:color="auto" w:fill="FFFFFF"/>
              </w:rPr>
            </w:pPr>
            <w:r>
              <w:rPr>
                <w:rFonts w:hint="eastAsia" w:ascii="黑体" w:hAnsi="黑体" w:eastAsia="黑体" w:cs="黑体"/>
                <w:i w:val="0"/>
                <w:iCs w:val="0"/>
                <w:caps w:val="0"/>
                <w:color w:val="0F1115"/>
                <w:spacing w:val="0"/>
                <w:sz w:val="24"/>
                <w:szCs w:val="24"/>
                <w:shd w:val="clear" w:color="auto" w:fill="FFFFFF"/>
              </w:rPr>
              <w:t>绩效考核得分</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11B3CFD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黑体" w:hAnsi="黑体" w:eastAsia="黑体" w:cs="黑体"/>
                <w:i w:val="0"/>
                <w:iCs w:val="0"/>
                <w:caps w:val="0"/>
                <w:color w:val="0F1115"/>
                <w:spacing w:val="0"/>
                <w:sz w:val="24"/>
                <w:szCs w:val="24"/>
                <w:shd w:val="clear" w:color="auto" w:fill="FFFFFF"/>
              </w:rPr>
            </w:pPr>
            <w:r>
              <w:rPr>
                <w:rFonts w:hint="eastAsia" w:ascii="黑体" w:hAnsi="黑体" w:eastAsia="黑体" w:cs="黑体"/>
                <w:i w:val="0"/>
                <w:iCs w:val="0"/>
                <w:caps w:val="0"/>
                <w:color w:val="0F1115"/>
                <w:spacing w:val="0"/>
                <w:sz w:val="24"/>
                <w:szCs w:val="24"/>
                <w:shd w:val="clear" w:color="auto" w:fill="FFFFFF"/>
              </w:rPr>
              <w:t>绩效考核系数</w:t>
            </w:r>
          </w:p>
        </w:tc>
      </w:tr>
      <w:tr w14:paraId="6FC0C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1D6FE946">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100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90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4A72D888">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rPr>
            </w:pPr>
            <w:r>
              <w:rPr>
                <w:rFonts w:hint="default" w:ascii="仿宋_GB2312" w:hAnsi="仿宋_GB2312" w:eastAsia="仿宋_GB2312" w:cs="仿宋_GB2312"/>
                <w:i w:val="0"/>
                <w:iCs w:val="0"/>
                <w:caps w:val="0"/>
                <w:color w:val="0F1115"/>
                <w:spacing w:val="0"/>
                <w:sz w:val="24"/>
                <w:szCs w:val="24"/>
                <w:shd w:val="clear" w:color="auto" w:fill="FFFFFF"/>
              </w:rPr>
              <w:t>1.00</w:t>
            </w:r>
          </w:p>
        </w:tc>
      </w:tr>
      <w:tr w14:paraId="5E04D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14FDBC3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89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80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49D7FCF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rPr>
            </w:pPr>
            <w:r>
              <w:rPr>
                <w:rFonts w:hint="default" w:ascii="仿宋_GB2312" w:hAnsi="仿宋_GB2312" w:eastAsia="仿宋_GB2312" w:cs="仿宋_GB2312"/>
                <w:i w:val="0"/>
                <w:iCs w:val="0"/>
                <w:caps w:val="0"/>
                <w:color w:val="0F1115"/>
                <w:spacing w:val="0"/>
                <w:sz w:val="24"/>
                <w:szCs w:val="24"/>
                <w:shd w:val="clear" w:color="auto" w:fill="FFFFFF"/>
              </w:rPr>
              <w:t>0.9</w:t>
            </w:r>
          </w:p>
        </w:tc>
      </w:tr>
      <w:tr w14:paraId="17EE8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32A10EF9">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79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70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73A5506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default" w:ascii="仿宋_GB2312" w:hAnsi="仿宋_GB2312" w:eastAsia="仿宋_GB2312" w:cs="仿宋_GB2312"/>
                <w:i w:val="0"/>
                <w:iCs w:val="0"/>
                <w:caps w:val="0"/>
                <w:color w:val="0F1115"/>
                <w:spacing w:val="0"/>
                <w:sz w:val="24"/>
                <w:szCs w:val="24"/>
                <w:shd w:val="clear" w:color="auto" w:fill="FFFFFF"/>
              </w:rPr>
              <w:t>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8</w:t>
            </w:r>
          </w:p>
        </w:tc>
      </w:tr>
      <w:tr w14:paraId="05F69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33F3DFE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69</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68C8DC17">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i w:val="0"/>
                <w:iCs w:val="0"/>
                <w:caps w:val="0"/>
                <w:color w:val="0F1115"/>
                <w:spacing w:val="0"/>
                <w:sz w:val="24"/>
                <w:szCs w:val="24"/>
                <w:shd w:val="clear" w:color="auto" w:fill="FFFFFF"/>
                <w:lang w:eastAsia="zh-CN"/>
              </w:rPr>
            </w:pPr>
            <w:r>
              <w:rPr>
                <w:rFonts w:hint="default" w:ascii="仿宋_GB2312" w:hAnsi="仿宋_GB2312" w:eastAsia="仿宋_GB2312" w:cs="仿宋_GB2312"/>
                <w:i w:val="0"/>
                <w:iCs w:val="0"/>
                <w:caps w:val="0"/>
                <w:color w:val="0F1115"/>
                <w:spacing w:val="0"/>
                <w:sz w:val="24"/>
                <w:szCs w:val="24"/>
                <w:shd w:val="clear" w:color="auto" w:fill="FFFFFF"/>
              </w:rPr>
              <w:t>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7</w:t>
            </w:r>
          </w:p>
        </w:tc>
      </w:tr>
      <w:tr w14:paraId="71720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3612" w:type="dxa"/>
            <w:tcBorders>
              <w:top w:val="single" w:color="auto" w:sz="4" w:space="0"/>
              <w:left w:val="single" w:color="auto" w:sz="4" w:space="0"/>
              <w:bottom w:val="single" w:color="auto" w:sz="4" w:space="0"/>
              <w:right w:val="single" w:color="auto" w:sz="4" w:space="0"/>
            </w:tcBorders>
            <w:noWrap w:val="0"/>
            <w:vAlign w:val="center"/>
          </w:tcPr>
          <w:p w14:paraId="53537575">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lang w:val="en-US" w:eastAsia="zh-CN"/>
              </w:rPr>
            </w:pPr>
            <w:r>
              <w:rPr>
                <w:rFonts w:hint="eastAsia" w:ascii="仿宋_GB2312" w:hAnsi="仿宋_GB2312" w:eastAsia="仿宋_GB2312" w:cs="仿宋_GB2312"/>
                <w:i w:val="0"/>
                <w:iCs w:val="0"/>
                <w:caps w:val="0"/>
                <w:color w:val="0F1115"/>
                <w:spacing w:val="0"/>
                <w:sz w:val="24"/>
                <w:szCs w:val="24"/>
                <w:shd w:val="clear" w:color="auto" w:fill="FFFFFF"/>
                <w:lang w:val="en-US" w:eastAsia="zh-CN"/>
              </w:rPr>
              <w:t>(</w:t>
            </w:r>
            <w:r>
              <w:rPr>
                <w:rFonts w:hint="default" w:ascii="仿宋_GB2312" w:hAnsi="仿宋_GB2312" w:eastAsia="仿宋_GB2312" w:cs="仿宋_GB2312"/>
                <w:i w:val="0"/>
                <w:iCs w:val="0"/>
                <w:caps w:val="0"/>
                <w:color w:val="0F1115"/>
                <w:spacing w:val="0"/>
                <w:sz w:val="24"/>
                <w:szCs w:val="24"/>
                <w:shd w:val="clear" w:color="auto" w:fill="FFFFFF"/>
              </w:rPr>
              <w:t>60</w:t>
            </w:r>
            <w:r>
              <w:rPr>
                <w:rFonts w:hint="eastAsia" w:ascii="仿宋_GB2312" w:hAnsi="仿宋_GB2312" w:eastAsia="仿宋_GB2312" w:cs="仿宋_GB2312"/>
                <w:i w:val="0"/>
                <w:iCs w:val="0"/>
                <w:caps w:val="0"/>
                <w:color w:val="0F1115"/>
                <w:spacing w:val="0"/>
                <w:sz w:val="24"/>
                <w:szCs w:val="24"/>
                <w:shd w:val="clear" w:color="auto" w:fill="FFFFFF"/>
                <w:lang w:val="en-US" w:eastAsia="zh-CN"/>
              </w:rPr>
              <w:t>,0]</w:t>
            </w:r>
          </w:p>
        </w:tc>
        <w:tc>
          <w:tcPr>
            <w:tcW w:w="3617" w:type="dxa"/>
            <w:tcBorders>
              <w:top w:val="single" w:color="auto" w:sz="4" w:space="0"/>
              <w:left w:val="single" w:color="auto" w:sz="4" w:space="0"/>
              <w:bottom w:val="single" w:color="auto" w:sz="4" w:space="0"/>
              <w:right w:val="single" w:color="auto" w:sz="4" w:space="0"/>
            </w:tcBorders>
            <w:noWrap w:val="0"/>
            <w:vAlign w:val="center"/>
          </w:tcPr>
          <w:p w14:paraId="7FA5436B">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default" w:ascii="仿宋_GB2312" w:hAnsi="仿宋_GB2312" w:eastAsia="仿宋_GB2312" w:cs="仿宋_GB2312"/>
                <w:i w:val="0"/>
                <w:iCs w:val="0"/>
                <w:caps w:val="0"/>
                <w:color w:val="0F1115"/>
                <w:spacing w:val="0"/>
                <w:sz w:val="24"/>
                <w:szCs w:val="24"/>
                <w:shd w:val="clear" w:color="auto" w:fill="FFFFFF"/>
                <w:lang w:val="en-US" w:eastAsia="zh-CN"/>
              </w:rPr>
            </w:pPr>
            <w:r>
              <w:rPr>
                <w:rFonts w:hint="default" w:ascii="仿宋_GB2312" w:hAnsi="仿宋_GB2312" w:eastAsia="仿宋_GB2312" w:cs="仿宋_GB2312"/>
                <w:i w:val="0"/>
                <w:iCs w:val="0"/>
                <w:caps w:val="0"/>
                <w:color w:val="0F1115"/>
                <w:spacing w:val="0"/>
                <w:sz w:val="24"/>
                <w:szCs w:val="24"/>
                <w:shd w:val="clear" w:color="auto" w:fill="FFFFFF"/>
              </w:rPr>
              <w:t>0</w:t>
            </w:r>
          </w:p>
        </w:tc>
      </w:tr>
    </w:tbl>
    <w:p w14:paraId="5ABA440D">
      <w:pPr>
        <w:pStyle w:val="11"/>
        <w:rPr>
          <w:rFonts w:hint="eastAsia"/>
          <w:lang w:val="en-US" w:eastAsia="zh-Hans"/>
        </w:rPr>
      </w:pPr>
    </w:p>
    <w:p w14:paraId="53C1AEB9">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KSOF0B79BE30">
    <w:panose1 w:val="02010600040101010101"/>
    <w:charset w:val="86"/>
    <w:family w:val="auto"/>
    <w:pitch w:val="default"/>
    <w:sig w:usb0="00000001" w:usb1="00000000" w:usb2="00000000" w:usb3="00000000" w:csb0="00040001" w:csb1="00000000"/>
  </w:font>
  <w:font w:name="KSOF0B7949D1">
    <w:panose1 w:val="02010600040101010101"/>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588E7">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7C1A32">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527C1A32">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90D83">
    <w:pPr>
      <w:pStyle w:val="4"/>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BC340F">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BC340F">
                    <w:pPr>
                      <w:pStyle w:val="4"/>
                      <w:rPr>
                        <w:rFonts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21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03944">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69678">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17E4A"/>
    <w:rsid w:val="6EE17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Body Text"/>
    <w:basedOn w:val="1"/>
    <w:next w:val="1"/>
    <w:qFormat/>
    <w:uiPriority w:val="99"/>
    <w:pPr>
      <w:spacing w:line="360" w:lineRule="auto"/>
    </w:pPr>
    <w:rPr>
      <w:rFonts w:ascii="Tahoma" w:hAnsi="Tahoma"/>
    </w:rPr>
  </w:style>
  <w:style w:type="paragraph" w:styleId="4">
    <w:name w:val="footer"/>
    <w:basedOn w:val="1"/>
    <w:next w:val="3"/>
    <w:unhideWhenUsed/>
    <w:qFormat/>
    <w:uiPriority w:val="99"/>
    <w:pPr>
      <w:tabs>
        <w:tab w:val="center" w:pos="4153"/>
        <w:tab w:val="right" w:pos="8306"/>
      </w:tabs>
      <w:snapToGrid w:val="0"/>
      <w:jc w:val="left"/>
    </w:pPr>
    <w:rPr>
      <w:sz w:val="18"/>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paragraph" w:styleId="10">
    <w:name w:val="List Paragraph"/>
    <w:basedOn w:val="1"/>
    <w:autoRedefine/>
    <w:qFormat/>
    <w:uiPriority w:val="99"/>
    <w:pPr>
      <w:widowControl/>
      <w:adjustRightInd w:val="0"/>
      <w:snapToGrid w:val="0"/>
      <w:spacing w:line="560" w:lineRule="exact"/>
      <w:ind w:left="639"/>
      <w:contextualSpacing/>
      <w:jc w:val="left"/>
    </w:pPr>
    <w:rPr>
      <w:rFonts w:ascii="仿宋" w:hAnsi="仿宋" w:eastAsia="仿宋" w:cs="仿宋"/>
      <w:bCs/>
      <w:sz w:val="28"/>
      <w:szCs w:val="2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2026-01-07T09:36:00Z</dcterms:created>
  <dc:creator>那就这样吧</dc:creator>
  <cp:lastModifiedBy>那就这样吧</cp:lastModifiedBy>
  <dcterms:modified xsi:type="dcterms:W3CDTF">2026-01-07T09:37:18Z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A8A03E2E67854DE29DF72DB54932EAA1_11</vt:lpwstr>
  </property>
  <property fmtid="{D5CDD505-2E9C-101B-9397-08002B2CF9AE}" pid="4" name="KSOTemplateDocerSaveRecord">
    <vt:lpwstr>eyJoZGlkIjoiNzM3ZTFhZWQxMThkOTVlMmI2YWFlMWQyOWI1Y2ZhOTciLCJ1c2VySWQiOiIyNzIwNjQ2ODcifQ==</vt:lpwstr>
  </property>
</Properties>
</file>