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998DA">
      <w:pPr>
        <w:pageBreakBefore/>
        <w:shd w:val="clear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  <w:t>分项报价表</w:t>
      </w:r>
    </w:p>
    <w:tbl>
      <w:tblPr>
        <w:tblStyle w:val="15"/>
        <w:tblW w:w="5072" w:type="pct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2"/>
        <w:gridCol w:w="1600"/>
        <w:gridCol w:w="1017"/>
        <w:gridCol w:w="910"/>
        <w:gridCol w:w="750"/>
        <w:gridCol w:w="630"/>
        <w:gridCol w:w="1085"/>
        <w:gridCol w:w="1125"/>
        <w:gridCol w:w="675"/>
      </w:tblGrid>
      <w:tr w14:paraId="19C433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7F4638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0CA37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78A4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D343F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6128F74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4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01536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D58E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2238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最高限价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（元/台）</w:t>
            </w:r>
          </w:p>
        </w:tc>
        <w:tc>
          <w:tcPr>
            <w:tcW w:w="6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ABC8A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报价</w:t>
            </w:r>
          </w:p>
          <w:p w14:paraId="715FEC7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（元/台）</w:t>
            </w:r>
          </w:p>
        </w:tc>
        <w:tc>
          <w:tcPr>
            <w:tcW w:w="3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91A200">
            <w:pPr>
              <w:spacing w:line="0" w:lineRule="atLeast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06041A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atLeast"/>
          <w:jc w:val="center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2365C2">
            <w:pPr>
              <w:spacing w:line="0" w:lineRule="atLeas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b/>
                <w:bCs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干式荧光免疫分析仪</w:t>
            </w:r>
          </w:p>
        </w:tc>
      </w:tr>
      <w:tr w14:paraId="0D7702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atLeast"/>
          <w:jc w:val="center"/>
        </w:trPr>
        <w:tc>
          <w:tcPr>
            <w:tcW w:w="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927FD7C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A310DB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干式荧光免疫分析仪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9D4C9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FC370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356EA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DE2D2F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台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ECF8E7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10000.00</w:t>
            </w:r>
          </w:p>
        </w:tc>
        <w:tc>
          <w:tcPr>
            <w:tcW w:w="6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A130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D7B5F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0DB75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9" w:hRule="atLeast"/>
          <w:jc w:val="center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411B7E">
            <w:pPr>
              <w:spacing w:line="0" w:lineRule="atLeas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b/>
                <w:bCs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超敏肌钙蛋白检测等床旁快速检测试剂一批</w:t>
            </w:r>
          </w:p>
        </w:tc>
      </w:tr>
      <w:tr w14:paraId="3CDDAA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8" w:hRule="atLeast"/>
          <w:jc w:val="center"/>
        </w:trPr>
        <w:tc>
          <w:tcPr>
            <w:tcW w:w="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217D2E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62424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A4BAB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C9165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5731FA5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4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10775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FB133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1F438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单人份</w:t>
            </w:r>
          </w:p>
          <w:p w14:paraId="0FEBE81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最高限价（元）</w:t>
            </w:r>
          </w:p>
        </w:tc>
        <w:tc>
          <w:tcPr>
            <w:tcW w:w="6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EB77C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单人份</w:t>
            </w:r>
          </w:p>
          <w:p w14:paraId="3996633F">
            <w:pPr>
              <w:spacing w:line="0" w:lineRule="atLeast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报价</w:t>
            </w:r>
          </w:p>
          <w:p w14:paraId="2248E74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3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E87FF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27119E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8" w:hRule="atLeast"/>
          <w:jc w:val="center"/>
        </w:trPr>
        <w:tc>
          <w:tcPr>
            <w:tcW w:w="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CB5D48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206B5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超敏心肌肌钙蛋白I检测试剂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FCAE8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C8F02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50DA6C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0D1EAE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份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60610AB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35.00</w:t>
            </w:r>
          </w:p>
        </w:tc>
        <w:tc>
          <w:tcPr>
            <w:tcW w:w="6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92D510">
            <w:pPr>
              <w:spacing w:line="360" w:lineRule="auto"/>
              <w:jc w:val="center"/>
              <w:rPr>
                <w:rFonts w:hint="eastAsia" w:ascii="仿宋_GB2312" w:hAnsi="仿宋_GB2312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7494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F9FAB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DCFACA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9C5F16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肌酸激酶同工酶检测试剂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FFBF9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06E75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23456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EAF22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份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3BBA63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28.00</w:t>
            </w:r>
          </w:p>
        </w:tc>
        <w:tc>
          <w:tcPr>
            <w:tcW w:w="6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50D77A">
            <w:pPr>
              <w:spacing w:line="360" w:lineRule="auto"/>
              <w:jc w:val="center"/>
              <w:rPr>
                <w:rFonts w:hint="eastAsia" w:ascii="仿宋_GB2312" w:hAnsi="仿宋_GB2312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B8ACD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4B5FE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56F9F8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A91AE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肌红蛋白检测试剂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1280C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FA73C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EF3967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718EC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份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7140E91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26.00</w:t>
            </w:r>
          </w:p>
        </w:tc>
        <w:tc>
          <w:tcPr>
            <w:tcW w:w="6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61E089">
            <w:pPr>
              <w:spacing w:line="360" w:lineRule="auto"/>
              <w:jc w:val="center"/>
              <w:rPr>
                <w:rFonts w:hint="eastAsia" w:ascii="仿宋_GB2312" w:hAnsi="仿宋_GB2312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265E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B7CC7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52CC2B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63760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N-末端脑钠肽前体检测试剂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9237B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E9ECDB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4F2C7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8917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份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57E41B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70.00</w:t>
            </w:r>
          </w:p>
        </w:tc>
        <w:tc>
          <w:tcPr>
            <w:tcW w:w="6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1BAA54">
            <w:pPr>
              <w:spacing w:line="360" w:lineRule="auto"/>
              <w:jc w:val="center"/>
              <w:rPr>
                <w:rFonts w:hint="eastAsia" w:ascii="仿宋_GB2312" w:hAnsi="仿宋_GB2312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EDFF3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3DC0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B7A950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E94AE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D-二聚体检测试剂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07F23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0AA88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F26DBF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F7436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份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A6D68B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33.00</w:t>
            </w:r>
          </w:p>
        </w:tc>
        <w:tc>
          <w:tcPr>
            <w:tcW w:w="6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63AAEE">
            <w:pPr>
              <w:spacing w:line="360" w:lineRule="auto"/>
              <w:jc w:val="center"/>
              <w:rPr>
                <w:rFonts w:hint="eastAsia" w:ascii="仿宋_GB2312" w:hAnsi="仿宋_GB2312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B61A7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61902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9" w:hRule="atLeast"/>
          <w:jc w:val="center"/>
        </w:trPr>
        <w:tc>
          <w:tcPr>
            <w:tcW w:w="292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4F404E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序号2-6项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试剂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单价合计：（元）</w:t>
            </w:r>
          </w:p>
        </w:tc>
        <w:tc>
          <w:tcPr>
            <w:tcW w:w="2071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7736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7AFA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9" w:hRule="atLeast"/>
          <w:jc w:val="center"/>
        </w:trPr>
        <w:tc>
          <w:tcPr>
            <w:tcW w:w="292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3AE43A">
            <w:pPr>
              <w:spacing w:line="0" w:lineRule="atLeast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投标报价（元）</w:t>
            </w:r>
          </w:p>
        </w:tc>
        <w:tc>
          <w:tcPr>
            <w:tcW w:w="2071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B585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515AD1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说明：</w:t>
      </w:r>
    </w:p>
    <w:p w14:paraId="50B092EA">
      <w:pPr>
        <w:widowControl/>
        <w:spacing w:line="360" w:lineRule="auto"/>
        <w:ind w:firstLine="480" w:firstLineChars="200"/>
        <w:rPr>
          <w:rFonts w:hint="default" w:ascii="仿宋" w:hAnsi="仿宋" w:eastAsia="仿宋" w:cs="仿宋"/>
          <w:b w:val="0"/>
          <w:bCs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干式荧光免疫分析仪不允许0元报价，否则按无效投标处理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highlight w:val="none"/>
          <w:lang w:val="en-US" w:eastAsia="zh-CN"/>
        </w:rPr>
        <w:t>。</w:t>
      </w:r>
    </w:p>
    <w:p w14:paraId="7DEFFE98">
      <w:pPr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2.投标报价为序号1-6项单价合计金额。</w:t>
      </w:r>
    </w:p>
    <w:p w14:paraId="1AB267AE">
      <w:pPr>
        <w:widowControl/>
        <w:tabs>
          <w:tab w:val="left" w:pos="342"/>
        </w:tabs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highlight w:val="none"/>
          <w:lang w:val="en-US" w:eastAsia="zh-CN"/>
        </w:rPr>
        <w:t>3.报价以元为单位，四舍五入精确到小数点后两位；</w:t>
      </w:r>
    </w:p>
    <w:p w14:paraId="5357FE69">
      <w:pPr>
        <w:widowControl/>
        <w:spacing w:line="360" w:lineRule="auto"/>
        <w:ind w:firstLine="480" w:firstLineChars="200"/>
        <w:rPr>
          <w:rFonts w:hint="default" w:ascii="仿宋" w:hAnsi="仿宋" w:eastAsia="仿宋" w:cs="仿宋"/>
          <w:b w:val="0"/>
          <w:bCs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highlight w:val="none"/>
          <w:lang w:val="en-US" w:eastAsia="zh-CN"/>
        </w:rPr>
        <w:t>4.单价报价不允许超过单价限价，否则按照无效投标处理；</w:t>
      </w:r>
    </w:p>
    <w:p w14:paraId="70ED73AA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</w:t>
      </w:r>
    </w:p>
    <w:p w14:paraId="282BF3F5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2BB2E2A6">
      <w:pPr>
        <w:ind w:firstLine="3840" w:firstLineChars="16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7A0EF1C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9039C8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902EA3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02618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2026-01-07T06:57:01Z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C4E03B3E09294E27BE1C4EBD2BFCF173_13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