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27EA4">
      <w:pPr>
        <w:pStyle w:val="19"/>
        <w:keepNext/>
        <w:keepLines/>
        <w:widowControl w:val="0"/>
        <w:suppressLineNumbers w:val="0"/>
        <w:pBdr>
          <w:top w:val="none" w:color="auto" w:sz="0" w:space="0"/>
          <w:left w:val="none" w:color="auto" w:sz="0" w:space="0"/>
          <w:bottom w:val="none" w:color="auto" w:sz="0" w:space="0"/>
          <w:right w:val="none" w:color="auto" w:sz="0" w:space="0"/>
          <w:between w:val="none" w:color="auto" w:sz="0" w:space="0"/>
        </w:pBdr>
        <w:tabs>
          <w:tab w:val="left" w:pos="1441"/>
          <w:tab w:val="left" w:pos="4156"/>
        </w:tabs>
        <w:spacing w:before="360" w:beforeAutospacing="0" w:after="240" w:afterAutospacing="0"/>
        <w:ind w:left="0" w:right="0"/>
        <w:jc w:val="center"/>
        <w:rPr>
          <w:rFonts w:hint="eastAsia" w:ascii="仿宋" w:hAnsi="仿宋" w:eastAsia="仿宋" w:cs="仿宋"/>
          <w:color w:val="auto"/>
          <w:highlight w:val="none"/>
        </w:rPr>
      </w:pPr>
      <w:r>
        <w:rPr>
          <w:rFonts w:hint="eastAsia" w:ascii="仿宋" w:hAnsi="仿宋" w:eastAsia="仿宋" w:cs="仿宋"/>
          <w:b/>
          <w:bCs/>
          <w:color w:val="auto"/>
          <w:sz w:val="44"/>
          <w:szCs w:val="44"/>
          <w:highlight w:val="none"/>
        </w:rPr>
        <w:t>西安市第一医院供货合同</w:t>
      </w:r>
    </w:p>
    <w:p w14:paraId="654DAFEA">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合同编号：</w:t>
      </w:r>
    </w:p>
    <w:p w14:paraId="2BFA399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签订地点：西安市第一医院（粉巷）</w:t>
      </w:r>
    </w:p>
    <w:p w14:paraId="655D257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采购人（甲方）：西安市第一医院</w:t>
      </w:r>
    </w:p>
    <w:p w14:paraId="4C61F27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供应商（乙方）： </w:t>
      </w:r>
    </w:p>
    <w:p w14:paraId="42751D2C">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供应商规模：  规模企业（大、中、小、微）</w:t>
      </w:r>
    </w:p>
    <w:p w14:paraId="03400AC3">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招标公司： </w:t>
      </w:r>
    </w:p>
    <w:p w14:paraId="3576C8C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招标时间：    年    月    日   ；  中标时间：    年    月   日</w:t>
      </w:r>
    </w:p>
    <w:p w14:paraId="2814D6A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516" w:firstLineChars="214"/>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履约结束日期：   年   月  日（可视验收具体情况向后顺延）</w:t>
      </w:r>
    </w:p>
    <w:p w14:paraId="42D7564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根据《中华人民共和国政府采购法》、《中华人民共和国民法典》及西安市第一医院医疗设备采购项目（项目编号及名称：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文件》、乙方的《</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文件》及《</w:t>
      </w:r>
      <w:r>
        <w:rPr>
          <w:rFonts w:hint="eastAsia" w:ascii="仿宋" w:hAnsi="仿宋" w:eastAsia="仿宋" w:cs="仿宋"/>
          <w:color w:val="auto"/>
          <w:sz w:val="24"/>
          <w:szCs w:val="24"/>
          <w:highlight w:val="none"/>
          <w:lang w:val="en-US" w:eastAsia="zh-CN"/>
        </w:rPr>
        <w:t>成</w:t>
      </w:r>
      <w:bookmarkStart w:id="0" w:name="_GoBack"/>
      <w:bookmarkEnd w:id="0"/>
      <w:r>
        <w:rPr>
          <w:rFonts w:hint="eastAsia" w:ascii="仿宋" w:hAnsi="仿宋" w:eastAsia="仿宋" w:cs="仿宋"/>
          <w:color w:val="auto"/>
          <w:sz w:val="24"/>
          <w:szCs w:val="24"/>
          <w:highlight w:val="none"/>
          <w:lang w:val="en-US" w:eastAsia="zh-CN"/>
        </w:rPr>
        <w:t>交</w:t>
      </w:r>
      <w:r>
        <w:rPr>
          <w:rFonts w:hint="eastAsia" w:ascii="仿宋" w:hAnsi="仿宋" w:eastAsia="仿宋" w:cs="仿宋"/>
          <w:color w:val="auto"/>
          <w:sz w:val="24"/>
          <w:szCs w:val="24"/>
          <w:highlight w:val="none"/>
        </w:rPr>
        <w:t>通知书》，甲、乙双方同意签订本合同。详细技术说明及其他有关合同项目的特定信息由合同附件予以说明，合同附件及本项目的</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通知书》等均为本合同不可分割的部分。双方同意共同遵守如下条款：</w:t>
      </w:r>
    </w:p>
    <w:p w14:paraId="2C3A7C7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一、合同货物（配置清单附后）</w:t>
      </w:r>
    </w:p>
    <w:p w14:paraId="60360DB3">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设备清单：</w:t>
      </w:r>
    </w:p>
    <w:tbl>
      <w:tblPr>
        <w:tblStyle w:val="22"/>
        <w:tblW w:w="9262"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12"/>
        <w:gridCol w:w="750"/>
        <w:gridCol w:w="833"/>
        <w:gridCol w:w="567"/>
        <w:gridCol w:w="566"/>
        <w:gridCol w:w="850"/>
        <w:gridCol w:w="1000"/>
        <w:gridCol w:w="934"/>
        <w:gridCol w:w="1383"/>
        <w:gridCol w:w="805"/>
        <w:gridCol w:w="762"/>
      </w:tblGrid>
      <w:tr w14:paraId="56225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3" w:hRule="atLeast"/>
          <w:tblCellSpacing w:w="0" w:type="dxa"/>
          <w:jc w:val="center"/>
        </w:trPr>
        <w:tc>
          <w:tcPr>
            <w:tcW w:w="812" w:type="dxa"/>
            <w:shd w:val="clear" w:color="auto" w:fill="auto"/>
            <w:vAlign w:val="center"/>
          </w:tcPr>
          <w:p w14:paraId="5176017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货物品名</w:t>
            </w:r>
          </w:p>
        </w:tc>
        <w:tc>
          <w:tcPr>
            <w:tcW w:w="750" w:type="dxa"/>
            <w:shd w:val="clear" w:color="auto" w:fill="auto"/>
            <w:vAlign w:val="center"/>
          </w:tcPr>
          <w:p w14:paraId="28A9FB8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产地</w:t>
            </w:r>
          </w:p>
          <w:p w14:paraId="05D5957C">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品牌</w:t>
            </w:r>
          </w:p>
        </w:tc>
        <w:tc>
          <w:tcPr>
            <w:tcW w:w="833" w:type="dxa"/>
            <w:shd w:val="clear" w:color="auto" w:fill="auto"/>
            <w:vAlign w:val="center"/>
          </w:tcPr>
          <w:p w14:paraId="4C521C44">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规格</w:t>
            </w:r>
          </w:p>
          <w:p w14:paraId="387392D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型号</w:t>
            </w:r>
          </w:p>
        </w:tc>
        <w:tc>
          <w:tcPr>
            <w:tcW w:w="567" w:type="dxa"/>
            <w:shd w:val="clear" w:color="auto" w:fill="auto"/>
            <w:vAlign w:val="center"/>
          </w:tcPr>
          <w:p w14:paraId="7773AD99">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单位</w:t>
            </w:r>
          </w:p>
        </w:tc>
        <w:tc>
          <w:tcPr>
            <w:tcW w:w="566" w:type="dxa"/>
            <w:shd w:val="clear" w:color="auto" w:fill="auto"/>
            <w:vAlign w:val="center"/>
          </w:tcPr>
          <w:p w14:paraId="6206B83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数量</w:t>
            </w:r>
          </w:p>
        </w:tc>
        <w:tc>
          <w:tcPr>
            <w:tcW w:w="850" w:type="dxa"/>
            <w:shd w:val="clear" w:color="auto" w:fill="auto"/>
            <w:vAlign w:val="center"/>
          </w:tcPr>
          <w:p w14:paraId="3CF91E1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单价</w:t>
            </w:r>
          </w:p>
          <w:p w14:paraId="37559A11">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（万元）</w:t>
            </w:r>
          </w:p>
        </w:tc>
        <w:tc>
          <w:tcPr>
            <w:tcW w:w="1000" w:type="dxa"/>
            <w:shd w:val="clear" w:color="auto" w:fill="auto"/>
            <w:vAlign w:val="center"/>
          </w:tcPr>
          <w:p w14:paraId="06DFB52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总价</w:t>
            </w:r>
          </w:p>
          <w:p w14:paraId="369B2ED1">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（万元）</w:t>
            </w:r>
          </w:p>
        </w:tc>
        <w:tc>
          <w:tcPr>
            <w:tcW w:w="934" w:type="dxa"/>
            <w:shd w:val="clear" w:color="auto" w:fill="auto"/>
            <w:vAlign w:val="center"/>
          </w:tcPr>
          <w:p w14:paraId="13D5ACD4">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随机</w:t>
            </w:r>
          </w:p>
          <w:p w14:paraId="7886119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配件</w:t>
            </w:r>
          </w:p>
        </w:tc>
        <w:tc>
          <w:tcPr>
            <w:tcW w:w="1383" w:type="dxa"/>
            <w:shd w:val="clear" w:color="auto" w:fill="auto"/>
            <w:vAlign w:val="center"/>
          </w:tcPr>
          <w:p w14:paraId="5C41DE0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交货期</w:t>
            </w:r>
          </w:p>
        </w:tc>
        <w:tc>
          <w:tcPr>
            <w:tcW w:w="805" w:type="dxa"/>
            <w:shd w:val="clear" w:color="auto" w:fill="auto"/>
            <w:vAlign w:val="center"/>
          </w:tcPr>
          <w:p w14:paraId="096AD07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使用科室</w:t>
            </w:r>
          </w:p>
        </w:tc>
        <w:tc>
          <w:tcPr>
            <w:tcW w:w="762" w:type="dxa"/>
            <w:shd w:val="clear" w:color="auto" w:fill="auto"/>
            <w:vAlign w:val="center"/>
          </w:tcPr>
          <w:p w14:paraId="773AC9A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资金类型</w:t>
            </w:r>
          </w:p>
        </w:tc>
      </w:tr>
      <w:tr w14:paraId="3BC7B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blCellSpacing w:w="0" w:type="dxa"/>
          <w:jc w:val="center"/>
        </w:trPr>
        <w:tc>
          <w:tcPr>
            <w:tcW w:w="812" w:type="dxa"/>
            <w:shd w:val="clear" w:color="auto" w:fill="auto"/>
            <w:vAlign w:val="center"/>
          </w:tcPr>
          <w:p w14:paraId="1AFF038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750" w:type="dxa"/>
            <w:shd w:val="clear" w:color="auto" w:fill="auto"/>
            <w:vAlign w:val="center"/>
          </w:tcPr>
          <w:p w14:paraId="7C9EA283">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833" w:type="dxa"/>
            <w:shd w:val="clear" w:color="auto" w:fill="auto"/>
            <w:vAlign w:val="center"/>
          </w:tcPr>
          <w:p w14:paraId="674D63F4">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567" w:type="dxa"/>
            <w:shd w:val="clear" w:color="auto" w:fill="auto"/>
            <w:vAlign w:val="center"/>
          </w:tcPr>
          <w:p w14:paraId="47F5046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firstLine="120"/>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566" w:type="dxa"/>
            <w:shd w:val="clear" w:color="auto" w:fill="auto"/>
            <w:vAlign w:val="center"/>
          </w:tcPr>
          <w:p w14:paraId="605E6013">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 </w:t>
            </w:r>
          </w:p>
        </w:tc>
        <w:tc>
          <w:tcPr>
            <w:tcW w:w="850" w:type="dxa"/>
            <w:shd w:val="clear" w:color="auto" w:fill="auto"/>
            <w:vAlign w:val="center"/>
          </w:tcPr>
          <w:p w14:paraId="7FB7260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 </w:t>
            </w:r>
          </w:p>
        </w:tc>
        <w:tc>
          <w:tcPr>
            <w:tcW w:w="1000" w:type="dxa"/>
            <w:shd w:val="clear" w:color="auto" w:fill="auto"/>
            <w:vAlign w:val="center"/>
          </w:tcPr>
          <w:p w14:paraId="06BE4CC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 </w:t>
            </w:r>
          </w:p>
        </w:tc>
        <w:tc>
          <w:tcPr>
            <w:tcW w:w="934" w:type="dxa"/>
            <w:shd w:val="clear" w:color="auto" w:fill="auto"/>
            <w:vAlign w:val="center"/>
          </w:tcPr>
          <w:p w14:paraId="69DE3F9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详见配置清单</w:t>
            </w:r>
          </w:p>
        </w:tc>
        <w:tc>
          <w:tcPr>
            <w:tcW w:w="1383" w:type="dxa"/>
            <w:shd w:val="clear" w:color="auto" w:fill="auto"/>
            <w:vAlign w:val="center"/>
          </w:tcPr>
          <w:p w14:paraId="22A7823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合同签订后XX个日历日内</w:t>
            </w:r>
          </w:p>
        </w:tc>
        <w:tc>
          <w:tcPr>
            <w:tcW w:w="805" w:type="dxa"/>
            <w:shd w:val="clear" w:color="auto" w:fill="auto"/>
            <w:vAlign w:val="center"/>
          </w:tcPr>
          <w:p w14:paraId="298D668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762" w:type="dxa"/>
            <w:shd w:val="clear" w:color="auto" w:fill="auto"/>
            <w:vAlign w:val="center"/>
          </w:tcPr>
          <w:p w14:paraId="6A09F20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r>
      <w:tr w14:paraId="1D770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blCellSpacing w:w="0" w:type="dxa"/>
          <w:jc w:val="center"/>
        </w:trPr>
        <w:tc>
          <w:tcPr>
            <w:tcW w:w="812" w:type="dxa"/>
            <w:shd w:val="clear" w:color="auto" w:fill="auto"/>
            <w:vAlign w:val="center"/>
          </w:tcPr>
          <w:p w14:paraId="1E0ACE7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合计</w:t>
            </w:r>
          </w:p>
        </w:tc>
        <w:tc>
          <w:tcPr>
            <w:tcW w:w="6883" w:type="dxa"/>
            <w:gridSpan w:val="8"/>
            <w:shd w:val="clear" w:color="auto" w:fill="auto"/>
            <w:vAlign w:val="center"/>
          </w:tcPr>
          <w:p w14:paraId="1D25E743">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tc>
        <w:tc>
          <w:tcPr>
            <w:tcW w:w="805" w:type="dxa"/>
            <w:shd w:val="clear" w:color="auto" w:fill="auto"/>
            <w:vAlign w:val="center"/>
          </w:tcPr>
          <w:p w14:paraId="6817763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762" w:type="dxa"/>
            <w:shd w:val="clear" w:color="auto" w:fill="auto"/>
            <w:vAlign w:val="center"/>
          </w:tcPr>
          <w:p w14:paraId="0BE8BF0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r>
    </w:tbl>
    <w:p w14:paraId="5F354A3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rPr>
          <w:rFonts w:hint="eastAsia" w:ascii="仿宋" w:hAnsi="仿宋" w:eastAsia="仿宋" w:cs="仿宋"/>
          <w:b/>
          <w:bCs/>
          <w:color w:val="auto"/>
          <w:highlight w:val="none"/>
        </w:rPr>
      </w:pPr>
      <w:r>
        <w:rPr>
          <w:rFonts w:hint="eastAsia" w:ascii="仿宋" w:hAnsi="仿宋" w:eastAsia="仿宋" w:cs="仿宋"/>
          <w:b/>
          <w:bCs/>
          <w:color w:val="auto"/>
          <w:sz w:val="24"/>
          <w:szCs w:val="24"/>
          <w:highlight w:val="none"/>
        </w:rPr>
        <w:t>耗材清单：</w:t>
      </w:r>
    </w:p>
    <w:tbl>
      <w:tblPr>
        <w:tblStyle w:val="22"/>
        <w:tblW w:w="9256" w:type="dxa"/>
        <w:jc w:val="center"/>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213"/>
        <w:gridCol w:w="1213"/>
        <w:gridCol w:w="2187"/>
        <w:gridCol w:w="796"/>
        <w:gridCol w:w="796"/>
        <w:gridCol w:w="796"/>
        <w:gridCol w:w="1458"/>
        <w:gridCol w:w="797"/>
      </w:tblGrid>
      <w:tr w14:paraId="632FC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79"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A9F60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设备名称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16359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sz w:val="24"/>
                <w:szCs w:val="24"/>
                <w:highlight w:val="none"/>
              </w:rPr>
              <w:t>耗材名称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CBA3B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阳光挂网组件编号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367BF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产地</w:t>
            </w:r>
          </w:p>
          <w:p w14:paraId="0FCBCE19">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品牌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EF0BC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规格</w:t>
            </w:r>
          </w:p>
          <w:p w14:paraId="5C61C93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CACF8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1B9A5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单价（元）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4F6C7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备注</w:t>
            </w:r>
          </w:p>
        </w:tc>
      </w:tr>
      <w:tr w14:paraId="7A374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1"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C3B75A3">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2109A4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124CCB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43FB23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204922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A99DA7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4D11DF1">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523C96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r>
    </w:tbl>
    <w:p w14:paraId="388D206C">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二、合同总价</w:t>
      </w:r>
    </w:p>
    <w:p w14:paraId="7EC259E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504"/>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eastAsia="zh-CN"/>
        </w:rPr>
        <w:t>本合同</w:t>
      </w:r>
      <w:r>
        <w:rPr>
          <w:rFonts w:hint="eastAsia" w:ascii="仿宋" w:hAnsi="仿宋" w:eastAsia="仿宋" w:cs="仿宋"/>
          <w:color w:val="auto"/>
          <w:sz w:val="24"/>
          <w:szCs w:val="24"/>
          <w:highlight w:val="none"/>
        </w:rPr>
        <w:t>总价为人民币大写：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，即RMB¥</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eastAsia="zh-CN"/>
        </w:rPr>
        <w:t>；其中设备</w:t>
      </w:r>
      <w:r>
        <w:rPr>
          <w:rFonts w:hint="eastAsia" w:ascii="仿宋" w:hAnsi="仿宋" w:eastAsia="仿宋" w:cs="仿宋"/>
          <w:color w:val="auto"/>
          <w:sz w:val="24"/>
          <w:szCs w:val="24"/>
          <w:highlight w:val="none"/>
        </w:rPr>
        <w:t>总价为人民币大写：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，即RMB¥</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eastAsia="zh-CN"/>
        </w:rPr>
        <w:t>耗材依据实际消耗量据实结算。</w:t>
      </w:r>
      <w:r>
        <w:rPr>
          <w:rFonts w:hint="eastAsia" w:ascii="仿宋" w:hAnsi="仿宋" w:eastAsia="仿宋" w:cs="仿宋"/>
          <w:color w:val="auto"/>
          <w:sz w:val="24"/>
          <w:szCs w:val="24"/>
          <w:highlight w:val="none"/>
        </w:rPr>
        <w:t>该合同总价已包括货物生产、包装、运输、安装、调试、检测、培训、验收合格交付使用之前及保修期内保修服务与备用物件等所有其它有关各项的含税费用。本合同执行期间合同总价不变，甲方无须另向乙方支付本合同规定之外的其他任何费用。</w:t>
      </w:r>
    </w:p>
    <w:p w14:paraId="2BA38A1E">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firstLine="482" w:firstLineChars="200"/>
        <w:jc w:val="both"/>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交货地点：西安市第一医院（甲方指定地点）</w:t>
      </w:r>
    </w:p>
    <w:p w14:paraId="142CFDE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注意：包装箱及拆箱、安装和调试产生的垃圾请带出院外自行处理。</w:t>
      </w:r>
    </w:p>
    <w:p w14:paraId="53E71A50">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jc w:val="both"/>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四、质量要求</w:t>
      </w:r>
    </w:p>
    <w:p w14:paraId="1C9D4E22">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1、乙方须提供全新的货物（含零部件、配件等），表面无划伤、无碰撞痕迹，且权属清楚，不得侵害他人的知识产权。</w:t>
      </w:r>
    </w:p>
    <w:p w14:paraId="7AC77369">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2、货物必须符合或优于国家（行业）标准，以及本项目</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文件的质量要求和技术指标与出厂标准。</w:t>
      </w:r>
    </w:p>
    <w:p w14:paraId="32700D57">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3、货物质量出现问题，乙方应在三日内负责包换或包退，产生的费用由乙方负担，甲方有权监督质询乙方提供的货物质量和生产、运输进度。</w:t>
      </w:r>
    </w:p>
    <w:p w14:paraId="76704E24">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4、货到现场后由于甲方保管不当影响货物质量或被损坏，乙方应负责维修或更换被损坏的部件，因此产生的费用由甲方负担。</w:t>
      </w:r>
    </w:p>
    <w:p w14:paraId="00F33CB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5、因乙方所供设备质量问题引发的一切纠纷及损失由乙方承担责任，给甲方造成损失的乙方应当承担赔偿责任。</w:t>
      </w:r>
    </w:p>
    <w:p w14:paraId="5A4BA4D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五、交货及验收</w:t>
      </w:r>
    </w:p>
    <w:p w14:paraId="30E9BE5C">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1、乙方</w:t>
      </w:r>
      <w:r>
        <w:rPr>
          <w:rFonts w:hint="eastAsia" w:ascii="仿宋" w:hAnsi="仿宋" w:eastAsia="仿宋" w:cs="仿宋"/>
          <w:color w:val="auto"/>
          <w:sz w:val="24"/>
          <w:szCs w:val="24"/>
          <w:highlight w:val="none"/>
          <w:lang w:val="en-US" w:eastAsia="zh-CN"/>
        </w:rPr>
        <w:t>合同签订之日起</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lang w:val="en-US" w:eastAsia="zh-CN"/>
        </w:rPr>
        <w:t>日历天内</w:t>
      </w:r>
      <w:r>
        <w:rPr>
          <w:rFonts w:hint="eastAsia" w:ascii="仿宋" w:hAnsi="仿宋" w:eastAsia="仿宋" w:cs="仿宋"/>
          <w:color w:val="auto"/>
          <w:sz w:val="24"/>
          <w:szCs w:val="24"/>
          <w:highlight w:val="none"/>
        </w:rPr>
        <w:t>交货到甲方指定地点，乙方应在3日内全部完成安装调试并经验收合格交付使用，由于甲方的原因造成合同延迟签订或验收的，时间顺延。交货验收时乙方须提供产品质检部门从同类产品中抽样检查合格的检测报告，进口产品需提供甲方购买货物的相同批次报关文件。</w:t>
      </w:r>
    </w:p>
    <w:p w14:paraId="74FFFDE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2、验收由甲方组织，乙方配合进行：</w:t>
      </w:r>
    </w:p>
    <w:p w14:paraId="4D5A4D4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(1)货物在乙方通知安装调试完毕后3日内初步验收。初步验收合格后，进入15日试用期；试用期间发生重大质量问题，按照合同条款第四项之第3条处理，试用期相应顺延；试用期结束后3日内完成最终验收；</w:t>
      </w:r>
    </w:p>
    <w:p w14:paraId="29FA10E2">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3EB3214B">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验收时如发现所交付的货物有缺项、次品、损坏或其它不符合标准及本合同规定之情形者，甲方应做出详尽的现场记录，并由甲乙双方签署备忘录，此现场记录或备忘录可用作补充缺失和更换损坏部件和更换符合要求的整机之有效证据，由此产生的时间延误与相关费用由乙方承担，验收期限相应顺延；</w:t>
      </w:r>
    </w:p>
    <w:p w14:paraId="51FEBF23">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(4)如质量验收合格，双方签署质量验收报告，作为双方最终结算的依据。</w:t>
      </w:r>
    </w:p>
    <w:p w14:paraId="12475AFA">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3、货物安装完成后3日内，甲方无故不进行验收工作并已使用货物的，视同已安装调试完成并初步验收合格。</w:t>
      </w:r>
    </w:p>
    <w:p w14:paraId="56B5F86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乙方应将所提供货物的装箱清单、配件、随机工具、用户使用手册、原厂保修卡等资料在交货的同时交付给甲方；乙方不能完整交付货物及本款规定的单证或工具等约定的资料的，必须负责补齐，否则视为未按合同约定交货。</w:t>
      </w:r>
    </w:p>
    <w:p w14:paraId="0DC77CC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5、如货物质量有问题，经甲方同意乙方2次维修仍不能达到合同约定的质量标准，甲方有权退货，并视作乙方不能交付货物而须支付违约赔偿金给甲方，甲方还可依法追究乙方的违约责任。</w:t>
      </w:r>
    </w:p>
    <w:p w14:paraId="59875BA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jc w:val="both"/>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六、培训和保养</w:t>
      </w:r>
    </w:p>
    <w:p w14:paraId="0620B9F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乙方以多种方式负责向甲方培训设备的使用操作和维护保养工作，直到熟练掌握为止。甲方负责考核培训结果以决定是否需要再培训。乙方接到甲方培训通知后3日内安排再培训。</w:t>
      </w:r>
    </w:p>
    <w:p w14:paraId="3A0AE0C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七、付款方式</w:t>
      </w:r>
    </w:p>
    <w:p w14:paraId="4CECA4F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1、设备付款方式：</w:t>
      </w:r>
    </w:p>
    <w:p w14:paraId="6F9EEC5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b w:val="0"/>
          <w:bCs w:val="0"/>
          <w:color w:val="auto"/>
          <w:sz w:val="24"/>
          <w:szCs w:val="24"/>
          <w:highlight w:val="none"/>
          <w:u w:val="singl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货到安装验收合格并经15天试用期满符合合同约定的质量标准要求，经产品最终验收合格后，一个月内全额支付设备合同总金额</w:t>
      </w:r>
      <w:r>
        <w:rPr>
          <w:rFonts w:hint="eastAsia" w:ascii="仿宋" w:hAnsi="仿宋" w:eastAsia="仿宋" w:cs="仿宋"/>
          <w:b w:val="0"/>
          <w:bCs w:val="0"/>
          <w:color w:val="auto"/>
          <w:sz w:val="24"/>
          <w:szCs w:val="24"/>
          <w:highlight w:val="none"/>
        </w:rPr>
        <w:t>人民币（大写）：</w:t>
      </w:r>
      <w:r>
        <w:rPr>
          <w:rFonts w:hint="eastAsia" w:ascii="仿宋" w:hAnsi="仿宋" w:eastAsia="仿宋" w:cs="仿宋"/>
          <w:b w:val="0"/>
          <w:bCs w:val="0"/>
          <w:color w:val="auto"/>
          <w:sz w:val="24"/>
          <w:szCs w:val="24"/>
          <w:highlight w:val="none"/>
          <w:u w:val="single"/>
        </w:rPr>
        <w:t>xxx元整（¥***.00）</w:t>
      </w:r>
      <w:r>
        <w:rPr>
          <w:rFonts w:hint="eastAsia" w:ascii="仿宋" w:hAnsi="仿宋" w:eastAsia="仿宋" w:cs="仿宋"/>
          <w:b w:val="0"/>
          <w:bCs w:val="0"/>
          <w:color w:val="auto"/>
          <w:sz w:val="24"/>
          <w:szCs w:val="24"/>
          <w:highlight w:val="none"/>
          <w:u w:val="single"/>
          <w:lang w:eastAsia="zh-CN"/>
        </w:rPr>
        <w:t>。</w:t>
      </w:r>
    </w:p>
    <w:p w14:paraId="17F115D3">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b w:val="0"/>
          <w:bCs w:val="0"/>
          <w:color w:val="auto"/>
          <w:sz w:val="24"/>
          <w:szCs w:val="24"/>
          <w:highlight w:val="none"/>
        </w:rPr>
        <w:t>乙方应当在合同签订后3日内，向甲方支付</w:t>
      </w:r>
      <w:r>
        <w:rPr>
          <w:rFonts w:hint="eastAsia" w:ascii="仿宋" w:hAnsi="仿宋" w:eastAsia="仿宋" w:cs="仿宋"/>
          <w:b w:val="0"/>
          <w:bCs w:val="0"/>
          <w:color w:val="auto"/>
          <w:sz w:val="24"/>
          <w:szCs w:val="24"/>
          <w:highlight w:val="none"/>
          <w:lang w:eastAsia="zh-CN"/>
        </w:rPr>
        <w:t>设备</w:t>
      </w:r>
      <w:r>
        <w:rPr>
          <w:rFonts w:hint="eastAsia" w:ascii="仿宋" w:hAnsi="仿宋" w:eastAsia="仿宋" w:cs="仿宋"/>
          <w:b w:val="0"/>
          <w:bCs w:val="0"/>
          <w:color w:val="auto"/>
          <w:sz w:val="24"/>
          <w:szCs w:val="24"/>
          <w:highlight w:val="none"/>
        </w:rPr>
        <w:t>总金额的5%款项，人民币（大写）：xxx元整</w:t>
      </w:r>
      <w:r>
        <w:rPr>
          <w:rFonts w:hint="eastAsia" w:ascii="仿宋" w:hAnsi="仿宋" w:eastAsia="仿宋" w:cs="仿宋"/>
          <w:color w:val="auto"/>
          <w:sz w:val="24"/>
          <w:szCs w:val="24"/>
          <w:highlight w:val="none"/>
          <w:u w:val="single"/>
        </w:rPr>
        <w:t>（¥ ***.00）</w:t>
      </w:r>
      <w:r>
        <w:rPr>
          <w:rFonts w:hint="eastAsia" w:ascii="仿宋" w:hAnsi="仿宋" w:eastAsia="仿宋" w:cs="仿宋"/>
          <w:color w:val="auto"/>
          <w:sz w:val="24"/>
          <w:szCs w:val="24"/>
          <w:highlight w:val="none"/>
        </w:rPr>
        <w:t>.作为履约保证金，保证期为中标（成交）之日起至项目服务期结束之日。保证期满乙方如约履行合同的，在合同服务期结束之日起30日内无息退还履约保证金。</w:t>
      </w:r>
    </w:p>
    <w:p w14:paraId="1B77CF25">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计划支付日期约为   年  月  日（可视具体情况向后顺延）。</w:t>
      </w:r>
    </w:p>
    <w:p w14:paraId="2A31427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3、耗材付款方式：</w:t>
      </w:r>
      <w:r>
        <w:rPr>
          <w:rFonts w:hint="eastAsia" w:ascii="仿宋" w:hAnsi="仿宋" w:eastAsia="仿宋" w:cs="仿宋"/>
          <w:b w:val="0"/>
          <w:bCs w:val="0"/>
          <w:color w:val="auto"/>
          <w:sz w:val="24"/>
          <w:szCs w:val="24"/>
          <w:highlight w:val="none"/>
          <w:lang w:val="en-US" w:eastAsia="zh-CN"/>
        </w:rPr>
        <w:t>依据每月实际</w:t>
      </w:r>
      <w:r>
        <w:rPr>
          <w:rFonts w:hint="eastAsia" w:ascii="仿宋" w:hAnsi="仿宋" w:eastAsia="仿宋" w:cs="仿宋"/>
          <w:b w:val="0"/>
          <w:bCs w:val="0"/>
          <w:sz w:val="24"/>
          <w:szCs w:val="24"/>
          <w:highlight w:val="none"/>
        </w:rPr>
        <w:t>试剂</w:t>
      </w:r>
      <w:r>
        <w:rPr>
          <w:rFonts w:hint="eastAsia" w:ascii="仿宋" w:hAnsi="仿宋" w:eastAsia="仿宋" w:cs="仿宋"/>
          <w:b w:val="0"/>
          <w:bCs w:val="0"/>
          <w:color w:val="auto"/>
          <w:sz w:val="24"/>
          <w:szCs w:val="24"/>
          <w:highlight w:val="none"/>
          <w:lang w:val="en-US" w:eastAsia="zh-CN"/>
        </w:rPr>
        <w:t>消耗金额乙方向甲方开具正规发票，并提供所供</w:t>
      </w:r>
      <w:r>
        <w:rPr>
          <w:rFonts w:hint="eastAsia" w:ascii="仿宋" w:hAnsi="仿宋" w:eastAsia="仿宋" w:cs="仿宋"/>
          <w:b w:val="0"/>
          <w:bCs w:val="0"/>
          <w:sz w:val="24"/>
          <w:szCs w:val="24"/>
          <w:highlight w:val="none"/>
        </w:rPr>
        <w:t>试剂</w:t>
      </w:r>
      <w:r>
        <w:rPr>
          <w:rFonts w:hint="eastAsia" w:ascii="仿宋" w:hAnsi="仿宋" w:eastAsia="仿宋" w:cs="仿宋"/>
          <w:b w:val="0"/>
          <w:bCs w:val="0"/>
          <w:color w:val="auto"/>
          <w:sz w:val="24"/>
          <w:szCs w:val="24"/>
          <w:highlight w:val="none"/>
          <w:lang w:val="en-US" w:eastAsia="zh-CN"/>
        </w:rPr>
        <w:t>的进货发票，进货发票金额不得遮盖，确保“两票制”，款项经挂账流程后于7个月内完成支付。乙方要如实开具发票，不得变更开票内容，乙方开具发票出现税务争议时，乙方需承担税款、滞纳金、罚款等赔偿责任以及其他相关责任。</w:t>
      </w:r>
    </w:p>
    <w:p w14:paraId="7F60989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、乙方应当在甲方付款前向甲方出具正式增值税普通发票。乙方未按照约定提供发票的，甲方有权拒付相关款项，由此造成的损失由乙方负责。</w:t>
      </w:r>
    </w:p>
    <w:p w14:paraId="256F7DD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八、售后服务</w:t>
      </w:r>
    </w:p>
    <w:p w14:paraId="29906E2E">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1、依据</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的响应，设备质保期为验收合格后3年（出具厂家提供的三年质保证明和维保内容，保修期外维修免工时费），质保期内出现质量问题，乙方在接到甲方通知后2小时内响应，8小时内到达现场明确解决方案，48小时无法排除故障者需提供备用机，并承担修理调换的费用；质保期第一年内货物经乙方2次维修仍达不到合同约定的质量标准时，视作乙方货物质量不符合合同约定，甲方有权退货并追究乙方违约责任。货到现场后由于甲方保管不当造成的问题，乙方亦应负责修复，但费用由甲方负担。</w:t>
      </w:r>
    </w:p>
    <w:p w14:paraId="205A6904">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2、乙方应依据货物《</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文件》的《商务要求》中技术保障和服务保障，执行乙方《</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文件》的“响应”内容；</w:t>
      </w:r>
    </w:p>
    <w:p w14:paraId="4AD7C56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3、乙方须指派专人负责与甲方联系售后服务事宜。 </w:t>
      </w:r>
    </w:p>
    <w:p w14:paraId="3D4EA5A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甲方联系人及电话：</w:t>
      </w:r>
    </w:p>
    <w:p w14:paraId="577C347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乙方法人及负责人姓名及联系电话：法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人： </w:t>
      </w:r>
    </w:p>
    <w:p w14:paraId="798B62A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372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负责人： </w:t>
      </w:r>
    </w:p>
    <w:p w14:paraId="151213B9">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九、违约责任</w:t>
      </w:r>
    </w:p>
    <w:p w14:paraId="7A9BDBF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1、甲方违约责任</w:t>
      </w:r>
    </w:p>
    <w:p w14:paraId="7EFD4A74">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（1）甲方无正当理由拒收货物的，甲方应偿付合同总价百分之</w:t>
      </w:r>
      <w:r>
        <w:rPr>
          <w:rFonts w:hint="eastAsia" w:ascii="仿宋" w:hAnsi="仿宋" w:eastAsia="仿宋" w:cs="仿宋"/>
          <w:b/>
          <w:bCs/>
          <w:color w:val="auto"/>
          <w:sz w:val="24"/>
          <w:szCs w:val="24"/>
          <w:highlight w:val="none"/>
        </w:rPr>
        <w:t>五</w:t>
      </w:r>
      <w:r>
        <w:rPr>
          <w:rFonts w:hint="eastAsia" w:ascii="仿宋" w:hAnsi="仿宋" w:eastAsia="仿宋" w:cs="仿宋"/>
          <w:color w:val="auto"/>
          <w:sz w:val="24"/>
          <w:szCs w:val="24"/>
          <w:highlight w:val="none"/>
        </w:rPr>
        <w:t>的违约金；</w:t>
      </w:r>
    </w:p>
    <w:p w14:paraId="54E58C60">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（2）甲方逾期支付货款的，除应及时付足货款外，应按照银行同期贷款利率承担利息。逾期付款超过</w:t>
      </w:r>
      <w:r>
        <w:rPr>
          <w:rFonts w:hint="eastAsia" w:ascii="仿宋" w:hAnsi="仿宋" w:eastAsia="仿宋" w:cs="仿宋"/>
          <w:b/>
          <w:bCs/>
          <w:color w:val="auto"/>
          <w:sz w:val="24"/>
          <w:szCs w:val="24"/>
          <w:highlight w:val="none"/>
        </w:rPr>
        <w:t>15</w:t>
      </w:r>
      <w:r>
        <w:rPr>
          <w:rFonts w:hint="eastAsia" w:ascii="仿宋" w:hAnsi="仿宋" w:eastAsia="仿宋" w:cs="仿宋"/>
          <w:color w:val="auto"/>
          <w:sz w:val="24"/>
          <w:szCs w:val="24"/>
          <w:highlight w:val="none"/>
        </w:rPr>
        <w:t>天的，乙方有权终止合同；</w:t>
      </w:r>
    </w:p>
    <w:p w14:paraId="63E16F5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2、乙方违约责任</w:t>
      </w:r>
    </w:p>
    <w:p w14:paraId="3421A297">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（1）乙方交付的货物质量不符合合同规定的，乙方应向甲方支付合同总价百分之</w:t>
      </w:r>
      <w:r>
        <w:rPr>
          <w:rFonts w:hint="eastAsia" w:ascii="仿宋" w:hAnsi="仿宋" w:eastAsia="仿宋" w:cs="仿宋"/>
          <w:b/>
          <w:bCs/>
          <w:color w:val="auto"/>
          <w:sz w:val="24"/>
          <w:szCs w:val="24"/>
          <w:highlight w:val="none"/>
        </w:rPr>
        <w:t>五</w:t>
      </w:r>
      <w:r>
        <w:rPr>
          <w:rFonts w:hint="eastAsia" w:ascii="仿宋" w:hAnsi="仿宋" w:eastAsia="仿宋" w:cs="仿宋"/>
          <w:color w:val="auto"/>
          <w:sz w:val="24"/>
          <w:szCs w:val="24"/>
          <w:highlight w:val="none"/>
        </w:rPr>
        <w:t>的违约金，并须在合同规定的交货时间内更换合格的货物给甲方，否则，视作乙方不能交付货物而违约，按本条本款下述第“（2）”项规定由乙方偿付违约赔偿金给甲方。</w:t>
      </w:r>
    </w:p>
    <w:p w14:paraId="6DA9D850">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（2）乙方不能交付货物或逾期交付货物而违约的，除应及时交足货物外，还应向甲方偿付逾期交货部分货款总额万分之</w:t>
      </w:r>
      <w:r>
        <w:rPr>
          <w:rFonts w:hint="eastAsia" w:ascii="仿宋" w:hAnsi="仿宋" w:eastAsia="仿宋" w:cs="仿宋"/>
          <w:b/>
          <w:bCs/>
          <w:color w:val="auto"/>
          <w:sz w:val="24"/>
          <w:szCs w:val="24"/>
          <w:highlight w:val="none"/>
        </w:rPr>
        <w:t>五</w:t>
      </w:r>
      <w:r>
        <w:rPr>
          <w:rFonts w:hint="eastAsia" w:ascii="仿宋" w:hAnsi="仿宋" w:eastAsia="仿宋" w:cs="仿宋"/>
          <w:color w:val="auto"/>
          <w:sz w:val="24"/>
          <w:szCs w:val="24"/>
          <w:highlight w:val="none"/>
        </w:rPr>
        <w:t>/天的违约金；逾期交货超过</w:t>
      </w:r>
      <w:r>
        <w:rPr>
          <w:rFonts w:hint="eastAsia" w:ascii="仿宋" w:hAnsi="仿宋" w:eastAsia="仿宋" w:cs="仿宋"/>
          <w:b/>
          <w:bCs/>
          <w:color w:val="auto"/>
          <w:sz w:val="24"/>
          <w:szCs w:val="24"/>
          <w:highlight w:val="none"/>
        </w:rPr>
        <w:t>7</w:t>
      </w:r>
      <w:r>
        <w:rPr>
          <w:rFonts w:hint="eastAsia" w:ascii="仿宋" w:hAnsi="仿宋" w:eastAsia="仿宋" w:cs="仿宋"/>
          <w:color w:val="auto"/>
          <w:sz w:val="24"/>
          <w:szCs w:val="24"/>
          <w:highlight w:val="none"/>
        </w:rPr>
        <w:t>天，甲方有权终止合同，乙方则应按合同总价百分之</w:t>
      </w:r>
      <w:r>
        <w:rPr>
          <w:rFonts w:hint="eastAsia" w:ascii="仿宋" w:hAnsi="仿宋" w:eastAsia="仿宋" w:cs="仿宋"/>
          <w:b/>
          <w:bCs/>
          <w:color w:val="auto"/>
          <w:sz w:val="24"/>
          <w:szCs w:val="24"/>
          <w:highlight w:val="none"/>
        </w:rPr>
        <w:t>五</w:t>
      </w:r>
      <w:r>
        <w:rPr>
          <w:rFonts w:hint="eastAsia" w:ascii="仿宋" w:hAnsi="仿宋" w:eastAsia="仿宋" w:cs="仿宋"/>
          <w:color w:val="auto"/>
          <w:sz w:val="24"/>
          <w:szCs w:val="24"/>
          <w:highlight w:val="none"/>
        </w:rPr>
        <w:t>的款额向甲方偿付赔偿金，并须在三日内全额退还甲方已经付给乙方的货款及其利息，同时甲方有权将乙方违约事宜上报至财政监督管理部门备案。</w:t>
      </w:r>
    </w:p>
    <w:p w14:paraId="1813D2E0">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b/>
          <w:bCs/>
          <w:color w:val="auto"/>
          <w:sz w:val="24"/>
          <w:szCs w:val="24"/>
          <w:highlight w:val="none"/>
        </w:rPr>
        <w:t>7</w:t>
      </w:r>
      <w:r>
        <w:rPr>
          <w:rFonts w:hint="eastAsia" w:ascii="仿宋" w:hAnsi="仿宋" w:eastAsia="仿宋" w:cs="仿宋"/>
          <w:color w:val="auto"/>
          <w:sz w:val="24"/>
          <w:szCs w:val="24"/>
          <w:highlight w:val="none"/>
        </w:rPr>
        <w:t>天内无条件更换合格的货物，如逾期不能更换合格的货物，甲方有权终止本合同，乙方应另付合同总价的百分之</w:t>
      </w:r>
      <w:r>
        <w:rPr>
          <w:rFonts w:hint="eastAsia" w:ascii="仿宋" w:hAnsi="仿宋" w:eastAsia="仿宋" w:cs="仿宋"/>
          <w:b/>
          <w:bCs/>
          <w:color w:val="auto"/>
          <w:sz w:val="24"/>
          <w:szCs w:val="24"/>
          <w:highlight w:val="none"/>
        </w:rPr>
        <w:t>一</w:t>
      </w:r>
      <w:r>
        <w:rPr>
          <w:rFonts w:hint="eastAsia" w:ascii="仿宋" w:hAnsi="仿宋" w:eastAsia="仿宋" w:cs="仿宋"/>
          <w:color w:val="auto"/>
          <w:sz w:val="24"/>
          <w:szCs w:val="24"/>
          <w:highlight w:val="none"/>
        </w:rPr>
        <w:t>的赔偿金给甲方。</w:t>
      </w:r>
    </w:p>
    <w:p w14:paraId="664F6AE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乙方保证甲方在本合同中货物的权利，包括货物所有权及知识产权等权利。如任何第三方经法院（或仲裁机构）裁决有权对上述货物主张权利或国家机关依法对货物进行没收查处的，乙方除应向甲方返还已收款项外，还应另按合同总价的百分之</w:t>
      </w:r>
      <w:r>
        <w:rPr>
          <w:rFonts w:hint="eastAsia" w:ascii="仿宋" w:hAnsi="仿宋" w:eastAsia="仿宋" w:cs="仿宋"/>
          <w:b/>
          <w:bCs/>
          <w:color w:val="auto"/>
          <w:sz w:val="24"/>
          <w:szCs w:val="24"/>
          <w:highlight w:val="none"/>
        </w:rPr>
        <w:t>一</w:t>
      </w:r>
      <w:r>
        <w:rPr>
          <w:rFonts w:hint="eastAsia" w:ascii="仿宋" w:hAnsi="仿宋" w:eastAsia="仿宋" w:cs="仿宋"/>
          <w:color w:val="auto"/>
          <w:sz w:val="24"/>
          <w:szCs w:val="24"/>
          <w:highlight w:val="none"/>
        </w:rPr>
        <w:t>向甲方支付违约金并赔偿因此给甲方造成的一切损失。</w:t>
      </w:r>
    </w:p>
    <w:p w14:paraId="78A0D3C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360"/>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（5）乙方在不能按照本合同第九条的约定时间提供售后服务，每逾期一次，按照合同总价款的</w:t>
      </w:r>
      <w:r>
        <w:rPr>
          <w:rFonts w:hint="eastAsia" w:ascii="仿宋" w:hAnsi="仿宋" w:eastAsia="仿宋" w:cs="仿宋"/>
          <w:color w:val="auto"/>
          <w:sz w:val="24"/>
          <w:szCs w:val="24"/>
          <w:highlight w:val="none"/>
          <w:u w:val="single"/>
        </w:rPr>
        <w:t xml:space="preserve"> 1%</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向甲方支付违约金。</w:t>
      </w:r>
    </w:p>
    <w:p w14:paraId="6B13748A">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十、争议解决办法</w:t>
      </w:r>
    </w:p>
    <w:p w14:paraId="32A2B13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1、因货物的质量问题发生争议，可委托质量技术监督部门或其指定的质量鉴定机构进行质量鉴定。货物符合标准的，鉴定费由甲方承担；货物不符合质量标准的，鉴定费由乙方承担。</w:t>
      </w:r>
    </w:p>
    <w:p w14:paraId="6DF29E7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2、合同履行期间,若双方发生争议，可协商或由有关部门调解解决，协商或调解不成的，提交西安市第一医院所在地人民法院诉讼解决。</w:t>
      </w:r>
    </w:p>
    <w:p w14:paraId="330DDA8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jc w:val="both"/>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十一、其他</w:t>
      </w:r>
    </w:p>
    <w:p w14:paraId="7E52381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1、如有未尽事宜，由双方依法订立补充合同，补充合同与本合同具有同等法律效力。</w:t>
      </w:r>
    </w:p>
    <w:p w14:paraId="590F8E7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2、本合同一式七份，甲方五份，乙方一份，采购代理机构一份，效力相同，自双方签章盖章之日起生效。</w:t>
      </w:r>
    </w:p>
    <w:p w14:paraId="3F02674A">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7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3、货物交付前的风险由乙方承担。</w:t>
      </w:r>
    </w:p>
    <w:p w14:paraId="3F776190">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7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4、本合同项下地址为有效的通讯地址，一方变更应当书面通知相对方，未通知视为未变更，一方所发的文件通知等寄出或在《西安晚报》上公示即视为送达，产生相应的法律后果。</w:t>
      </w:r>
    </w:p>
    <w:p w14:paraId="5AAF850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rPr>
          <w:rFonts w:hint="eastAsia" w:ascii="仿宋" w:hAnsi="仿宋" w:eastAsia="仿宋" w:cs="仿宋"/>
          <w:color w:val="auto"/>
          <w:highlight w:val="none"/>
        </w:rPr>
      </w:pPr>
      <w:r>
        <w:rPr>
          <w:rFonts w:hint="eastAsia" w:ascii="仿宋" w:hAnsi="仿宋" w:eastAsia="仿宋" w:cs="仿宋"/>
          <w:color w:val="auto"/>
          <w:sz w:val="28"/>
          <w:szCs w:val="28"/>
          <w:highlight w:val="none"/>
        </w:rPr>
        <w:t>（以下无正文）</w:t>
      </w:r>
    </w:p>
    <w:p w14:paraId="3ACC1995">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甲方：</w:t>
      </w:r>
      <w:r>
        <w:rPr>
          <w:rFonts w:hint="eastAsia" w:ascii="仿宋" w:hAnsi="仿宋" w:eastAsia="仿宋" w:cs="仿宋"/>
          <w:color w:val="auto"/>
          <w:sz w:val="24"/>
          <w:szCs w:val="24"/>
          <w:highlight w:val="none"/>
        </w:rPr>
        <w:t xml:space="preserve">西安市第一医院（盖章）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            </w:t>
      </w:r>
      <w:r>
        <w:rPr>
          <w:rFonts w:hint="eastAsia" w:ascii="仿宋" w:hAnsi="仿宋" w:eastAsia="仿宋" w:cs="仿宋"/>
          <w:color w:val="auto"/>
          <w:sz w:val="24"/>
          <w:szCs w:val="24"/>
          <w:highlight w:val="none"/>
        </w:rPr>
        <w:t>（盖章）</w:t>
      </w:r>
    </w:p>
    <w:p w14:paraId="716A2346">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开户行：</w:t>
      </w:r>
      <w:r>
        <w:rPr>
          <w:rFonts w:hint="eastAsia" w:ascii="仿宋" w:hAnsi="仿宋" w:eastAsia="仿宋" w:cs="仿宋"/>
          <w:color w:val="auto"/>
          <w:sz w:val="24"/>
          <w:szCs w:val="24"/>
          <w:highlight w:val="none"/>
        </w:rPr>
        <w:t xml:space="preserve">中国工商银行西安南大街支行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开户行：</w:t>
      </w:r>
      <w:r>
        <w:rPr>
          <w:rFonts w:hint="eastAsia" w:ascii="仿宋" w:hAnsi="仿宋" w:eastAsia="仿宋" w:cs="仿宋"/>
          <w:color w:val="auto"/>
          <w:sz w:val="24"/>
          <w:szCs w:val="24"/>
          <w:highlight w:val="none"/>
        </w:rPr>
        <w:t> </w:t>
      </w:r>
    </w:p>
    <w:p w14:paraId="4ACD41FF">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账号：</w:t>
      </w:r>
      <w:r>
        <w:rPr>
          <w:rFonts w:hint="eastAsia" w:ascii="仿宋" w:hAnsi="仿宋" w:eastAsia="仿宋" w:cs="仿宋"/>
          <w:color w:val="auto"/>
          <w:sz w:val="24"/>
          <w:szCs w:val="24"/>
          <w:highlight w:val="none"/>
        </w:rPr>
        <w:t xml:space="preserve">3700020409089344018           </w:t>
      </w:r>
      <w:r>
        <w:rPr>
          <w:rFonts w:hint="eastAsia" w:ascii="仿宋" w:hAnsi="仿宋" w:eastAsia="仿宋" w:cs="仿宋"/>
          <w:b/>
          <w:bCs/>
          <w:color w:val="auto"/>
          <w:sz w:val="24"/>
          <w:szCs w:val="24"/>
          <w:highlight w:val="none"/>
        </w:rPr>
        <w:t>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银行账号： </w:t>
      </w:r>
    </w:p>
    <w:p w14:paraId="3AA3D1D7">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地址：</w:t>
      </w:r>
      <w:r>
        <w:rPr>
          <w:rFonts w:hint="eastAsia" w:ascii="仿宋" w:hAnsi="仿宋" w:eastAsia="仿宋" w:cs="仿宋"/>
          <w:color w:val="auto"/>
          <w:sz w:val="24"/>
          <w:szCs w:val="24"/>
          <w:highlight w:val="none"/>
        </w:rPr>
        <w:t xml:space="preserve">西安市南大街粉巷30号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地址：</w:t>
      </w:r>
    </w:p>
    <w:p w14:paraId="1BB9CEB5">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邮政编码：</w:t>
      </w:r>
      <w:r>
        <w:rPr>
          <w:rFonts w:hint="eastAsia" w:ascii="仿宋" w:hAnsi="仿宋" w:eastAsia="仿宋" w:cs="仿宋"/>
          <w:color w:val="auto"/>
          <w:sz w:val="24"/>
          <w:szCs w:val="24"/>
          <w:highlight w:val="none"/>
        </w:rPr>
        <w:t xml:space="preserve">710002                    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邮政编码：</w:t>
      </w:r>
      <w:r>
        <w:rPr>
          <w:rFonts w:hint="eastAsia" w:ascii="仿宋" w:hAnsi="仿宋" w:eastAsia="仿宋" w:cs="仿宋"/>
          <w:color w:val="auto"/>
          <w:sz w:val="24"/>
          <w:szCs w:val="24"/>
          <w:highlight w:val="none"/>
        </w:rPr>
        <w:t> </w:t>
      </w:r>
    </w:p>
    <w:p w14:paraId="62969A2E">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电话：</w:t>
      </w:r>
      <w:r>
        <w:rPr>
          <w:rFonts w:hint="eastAsia" w:ascii="仿宋" w:hAnsi="仿宋" w:eastAsia="仿宋" w:cs="仿宋"/>
          <w:color w:val="auto"/>
          <w:sz w:val="24"/>
          <w:szCs w:val="24"/>
          <w:highlight w:val="none"/>
        </w:rPr>
        <w:t xml:space="preserve">029-87630929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电话：</w:t>
      </w:r>
    </w:p>
    <w:p w14:paraId="186B5844">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                             </w:t>
      </w:r>
    </w:p>
    <w:p w14:paraId="3306FE5F">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法定代表人（授权代表）：</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法定代表人（授权代表）</w:t>
      </w:r>
      <w:r>
        <w:rPr>
          <w:rFonts w:hint="eastAsia" w:ascii="仿宋" w:hAnsi="仿宋" w:eastAsia="仿宋" w:cs="仿宋"/>
          <w:color w:val="auto"/>
          <w:sz w:val="24"/>
          <w:szCs w:val="24"/>
          <w:highlight w:val="none"/>
        </w:rPr>
        <w:t>：</w:t>
      </w:r>
    </w:p>
    <w:p w14:paraId="76D3A020">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3160E59F">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 xml:space="preserve">签订日期：  </w:t>
      </w:r>
      <w:r>
        <w:rPr>
          <w:rFonts w:hint="eastAsia" w:ascii="仿宋" w:hAnsi="仿宋" w:eastAsia="仿宋" w:cs="仿宋"/>
          <w:color w:val="auto"/>
          <w:sz w:val="24"/>
          <w:szCs w:val="24"/>
          <w:highlight w:val="none"/>
        </w:rPr>
        <w:t>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签订日期：</w:t>
      </w:r>
      <w:r>
        <w:rPr>
          <w:rFonts w:hint="eastAsia" w:ascii="仿宋" w:hAnsi="仿宋" w:eastAsia="仿宋" w:cs="仿宋"/>
          <w:color w:val="auto"/>
          <w:sz w:val="24"/>
          <w:szCs w:val="24"/>
          <w:highlight w:val="none"/>
        </w:rPr>
        <w:t>   年  月   日</w:t>
      </w:r>
    </w:p>
    <w:p w14:paraId="56062E8E">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right="53"/>
        <w:jc w:val="both"/>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    </w:t>
      </w:r>
    </w:p>
    <w:p w14:paraId="6D42E65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ind w:left="0" w:firstLine="482"/>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4C3D5A8C">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ind w:left="0" w:firstLine="482"/>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58053E2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鉴证方</w:t>
      </w:r>
      <w:r>
        <w:rPr>
          <w:rFonts w:hint="eastAsia" w:ascii="仿宋" w:hAnsi="仿宋" w:eastAsia="仿宋" w:cs="仿宋"/>
          <w:color w:val="auto"/>
          <w:sz w:val="24"/>
          <w:szCs w:val="24"/>
          <w:highlight w:val="none"/>
        </w:rPr>
        <w:t>（业务专用章）</w:t>
      </w:r>
      <w:r>
        <w:rPr>
          <w:rFonts w:hint="eastAsia" w:ascii="仿宋" w:hAnsi="仿宋" w:eastAsia="仿宋" w:cs="仿宋"/>
          <w:b/>
          <w:bCs/>
          <w:color w:val="auto"/>
          <w:sz w:val="24"/>
          <w:szCs w:val="24"/>
          <w:highlight w:val="none"/>
        </w:rPr>
        <w:t>：</w:t>
      </w:r>
    </w:p>
    <w:p w14:paraId="72CA9FCF">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 xml:space="preserve">单位名称：  </w:t>
      </w:r>
      <w:r>
        <w:rPr>
          <w:rFonts w:hint="eastAsia" w:ascii="仿宋" w:hAnsi="仿宋" w:eastAsia="仿宋" w:cs="仿宋"/>
          <w:color w:val="auto"/>
          <w:sz w:val="24"/>
          <w:szCs w:val="24"/>
          <w:highlight w:val="none"/>
        </w:rPr>
        <w:t xml:space="preserve">                     </w:t>
      </w:r>
    </w:p>
    <w:p w14:paraId="3EA9D06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 xml:space="preserve">地址： </w:t>
      </w:r>
    </w:p>
    <w:p w14:paraId="46970001">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代理人（签字）：</w:t>
      </w:r>
    </w:p>
    <w:p w14:paraId="6DBFCB05">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 xml:space="preserve">联系电话： </w:t>
      </w:r>
    </w:p>
    <w:p w14:paraId="1010610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ind w:left="0" w:firstLine="482"/>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2EFAB8B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ind w:left="0" w:firstLine="482"/>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29D8EA80">
      <w:pP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br w:type="page"/>
      </w:r>
    </w:p>
    <w:p w14:paraId="1F609E7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both"/>
        <w:rPr>
          <w:rFonts w:hint="eastAsia" w:ascii="仿宋" w:hAnsi="仿宋" w:eastAsia="仿宋" w:cs="仿宋"/>
          <w:color w:val="auto"/>
          <w:highlight w:val="none"/>
        </w:rPr>
      </w:pPr>
      <w:r>
        <w:rPr>
          <w:rFonts w:hint="eastAsia" w:ascii="仿宋" w:hAnsi="仿宋" w:eastAsia="仿宋" w:cs="仿宋"/>
          <w:color w:val="auto"/>
          <w:sz w:val="30"/>
          <w:szCs w:val="30"/>
          <w:highlight w:val="none"/>
        </w:rPr>
        <w:t xml:space="preserve">附件一：配置清单  </w:t>
      </w:r>
    </w:p>
    <w:tbl>
      <w:tblPr>
        <w:tblStyle w:val="22"/>
        <w:tblW w:w="0" w:type="auto"/>
        <w:tblCellSpacing w:w="0" w:type="dxa"/>
        <w:tblInd w:w="-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738"/>
        <w:gridCol w:w="1738"/>
        <w:gridCol w:w="1738"/>
        <w:gridCol w:w="1738"/>
        <w:gridCol w:w="1688"/>
      </w:tblGrid>
      <w:tr w14:paraId="7F81C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blCellSpacing w:w="0" w:type="dxa"/>
        </w:trPr>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BA35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序号</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4123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产品名称</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9F9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型号</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D06A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数量</w:t>
            </w: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BEB5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单位</w:t>
            </w:r>
          </w:p>
        </w:tc>
      </w:tr>
      <w:tr w14:paraId="687A3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CellSpacing w:w="0" w:type="dxa"/>
        </w:trPr>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505D4">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1C69">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4B3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8661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C880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r>
    </w:tbl>
    <w:p w14:paraId="7C8C70C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both"/>
        <w:rPr>
          <w:rFonts w:hint="eastAsia" w:ascii="仿宋" w:hAnsi="仿宋" w:eastAsia="仿宋" w:cs="仿宋"/>
          <w:color w:val="auto"/>
          <w:highlight w:val="none"/>
        </w:rPr>
      </w:pPr>
      <w:r>
        <w:rPr>
          <w:rFonts w:hint="eastAsia" w:ascii="仿宋" w:hAnsi="仿宋" w:eastAsia="仿宋" w:cs="仿宋"/>
          <w:color w:val="auto"/>
          <w:sz w:val="30"/>
          <w:szCs w:val="30"/>
          <w:highlight w:val="none"/>
        </w:rPr>
        <w:t>附件二：营业执照、法人授权委托书、受托人/法人身份证复印件</w:t>
      </w:r>
    </w:p>
    <w:p w14:paraId="7D94447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both"/>
        <w:rPr>
          <w:rFonts w:hint="eastAsia" w:ascii="仿宋" w:hAnsi="仿宋" w:eastAsia="仿宋" w:cs="仿宋"/>
          <w:highlight w:val="none"/>
        </w:rPr>
      </w:pPr>
      <w:r>
        <w:rPr>
          <w:rFonts w:hint="eastAsia" w:ascii="仿宋" w:hAnsi="仿宋" w:eastAsia="仿宋" w:cs="仿宋"/>
          <w:color w:val="auto"/>
          <w:sz w:val="30"/>
          <w:szCs w:val="30"/>
          <w:highlight w:val="none"/>
        </w:rPr>
        <w:t>附件三：厂家提供的3年质保证明和维保内容</w:t>
      </w:r>
    </w:p>
    <w:p w14:paraId="1E4E34AC">
      <w:pPr>
        <w:pStyle w:val="29"/>
        <w:rPr>
          <w:rFonts w:hint="eastAsia" w:ascii="仿宋" w:hAnsi="仿宋" w:eastAsia="仿宋" w:cs="仿宋"/>
          <w:highlight w:val="none"/>
          <w:lang w:val="en-US" w:eastAsia="zh-Hans"/>
        </w:rPr>
      </w:pPr>
    </w:p>
    <w:p w14:paraId="4073EC4A">
      <w:pPr>
        <w:rPr>
          <w:rFonts w:hint="eastAsia"/>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04078">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02B1D9">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7602B1D9">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203DF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9039C8"/>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253B3A"/>
    <w:rsid w:val="2B370F4B"/>
    <w:rsid w:val="2C046B0D"/>
    <w:rsid w:val="2C8E2CA3"/>
    <w:rsid w:val="2CC66E03"/>
    <w:rsid w:val="2D576387"/>
    <w:rsid w:val="2D810546"/>
    <w:rsid w:val="2D9D4A5A"/>
    <w:rsid w:val="2E8C2BEA"/>
    <w:rsid w:val="2F2B785B"/>
    <w:rsid w:val="30C528D7"/>
    <w:rsid w:val="3107144D"/>
    <w:rsid w:val="32863B5F"/>
    <w:rsid w:val="330111BC"/>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161379"/>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0013E0"/>
    <w:rsid w:val="5418220F"/>
    <w:rsid w:val="546045FE"/>
    <w:rsid w:val="554D5290"/>
    <w:rsid w:val="56296E24"/>
    <w:rsid w:val="569B4C2B"/>
    <w:rsid w:val="56E04626"/>
    <w:rsid w:val="57DC64E0"/>
    <w:rsid w:val="581A515D"/>
    <w:rsid w:val="584125D2"/>
    <w:rsid w:val="58AE1A31"/>
    <w:rsid w:val="58B053E8"/>
    <w:rsid w:val="58CB3CE0"/>
    <w:rsid w:val="595A5E33"/>
    <w:rsid w:val="59EA7F4F"/>
    <w:rsid w:val="5A902EA3"/>
    <w:rsid w:val="5ADC54F0"/>
    <w:rsid w:val="5C741667"/>
    <w:rsid w:val="5CAB1AAC"/>
    <w:rsid w:val="5D186F18"/>
    <w:rsid w:val="5D700D5D"/>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9341E28"/>
    <w:rsid w:val="6BF01A2A"/>
    <w:rsid w:val="6C573973"/>
    <w:rsid w:val="6D2E3635"/>
    <w:rsid w:val="6D8F1939"/>
    <w:rsid w:val="6E5839D5"/>
    <w:rsid w:val="6E9D056A"/>
    <w:rsid w:val="6FC722F1"/>
    <w:rsid w:val="712227CC"/>
    <w:rsid w:val="72C930BC"/>
    <w:rsid w:val="72DF6A85"/>
    <w:rsid w:val="74787DB6"/>
    <w:rsid w:val="74957015"/>
    <w:rsid w:val="75065B3C"/>
    <w:rsid w:val="75133ED9"/>
    <w:rsid w:val="75984C7A"/>
    <w:rsid w:val="75B92B32"/>
    <w:rsid w:val="7613722B"/>
    <w:rsid w:val="76497FA9"/>
    <w:rsid w:val="77053496"/>
    <w:rsid w:val="779F13E7"/>
    <w:rsid w:val="784A7A67"/>
    <w:rsid w:val="7A602618"/>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6"/>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5"/>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7"/>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3">
    <w:name w:val="Default Paragraph Font"/>
    <w:semiHidden/>
    <w:unhideWhenUsed/>
    <w:qFormat/>
    <w:uiPriority w:val="1"/>
  </w:style>
  <w:style w:type="table" w:default="1" w:styleId="22">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next w:val="15"/>
    <w:qFormat/>
    <w:uiPriority w:val="0"/>
    <w:pPr>
      <w:ind w:firstLine="630"/>
    </w:pPr>
    <w:rPr>
      <w:sz w:val="32"/>
    </w:rPr>
  </w:style>
  <w:style w:type="paragraph" w:styleId="15">
    <w:name w:val="envelope return"/>
    <w:basedOn w:val="1"/>
    <w:qFormat/>
    <w:uiPriority w:val="99"/>
    <w:pPr>
      <w:snapToGrid w:val="0"/>
    </w:pPr>
    <w:rPr>
      <w:rFonts w:ascii="Arial" w:hAnsi="Arial" w:cs="Arial"/>
    </w:rPr>
  </w:style>
  <w:style w:type="paragraph" w:styleId="16">
    <w:name w:val="Plain Text"/>
    <w:basedOn w:val="1"/>
    <w:qFormat/>
    <w:uiPriority w:val="0"/>
    <w:rPr>
      <w:rFonts w:ascii="宋体" w:hAnsi="Courier New"/>
    </w:rPr>
  </w:style>
  <w:style w:type="paragraph" w:styleId="17">
    <w:name w:val="footer"/>
    <w:basedOn w:val="1"/>
    <w:qFormat/>
    <w:uiPriority w:val="0"/>
    <w:pPr>
      <w:tabs>
        <w:tab w:val="center" w:pos="4153"/>
        <w:tab w:val="right" w:pos="8306"/>
      </w:tabs>
      <w:snapToGrid w:val="0"/>
      <w:jc w:val="left"/>
    </w:pPr>
    <w:rPr>
      <w:sz w:val="18"/>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20">
    <w:name w:val="Body Text First Indent"/>
    <w:basedOn w:val="13"/>
    <w:next w:val="21"/>
    <w:unhideWhenUsed/>
    <w:qFormat/>
    <w:uiPriority w:val="99"/>
    <w:pPr>
      <w:ind w:firstLine="420" w:firstLineChars="100"/>
    </w:pPr>
    <w:rPr>
      <w:szCs w:val="24"/>
    </w:rPr>
  </w:style>
  <w:style w:type="paragraph" w:styleId="21">
    <w:name w:val="Body Text First Indent 2"/>
    <w:basedOn w:val="14"/>
    <w:next w:val="20"/>
    <w:unhideWhenUsed/>
    <w:qFormat/>
    <w:uiPriority w:val="99"/>
    <w:pPr>
      <w:ind w:firstLine="420" w:firstLineChars="200"/>
    </w:pPr>
  </w:style>
  <w:style w:type="character" w:customStyle="1" w:styleId="24">
    <w:name w:val="标题 2 Char1"/>
    <w:link w:val="4"/>
    <w:qFormat/>
    <w:uiPriority w:val="0"/>
    <w:rPr>
      <w:rFonts w:ascii="Arial" w:hAnsi="Arial" w:eastAsia="宋体" w:cs="Times New Roman"/>
      <w:b/>
      <w:bCs/>
      <w:kern w:val="0"/>
      <w:sz w:val="36"/>
      <w:szCs w:val="22"/>
      <w:lang w:val="zh-CN" w:bidi="zh-CN"/>
    </w:rPr>
  </w:style>
  <w:style w:type="character" w:customStyle="1" w:styleId="25">
    <w:name w:val="标题 3 Char"/>
    <w:basedOn w:val="23"/>
    <w:link w:val="5"/>
    <w:qFormat/>
    <w:uiPriority w:val="0"/>
    <w:rPr>
      <w:rFonts w:ascii="Times New Roman" w:hAnsi="Times New Roman" w:eastAsia="宋体" w:cs="Times New Roman"/>
      <w:b/>
      <w:bCs/>
      <w:kern w:val="2"/>
      <w:sz w:val="32"/>
      <w:szCs w:val="32"/>
    </w:rPr>
  </w:style>
  <w:style w:type="character" w:customStyle="1" w:styleId="26">
    <w:name w:val="标题 1 Char"/>
    <w:basedOn w:val="23"/>
    <w:link w:val="3"/>
    <w:qFormat/>
    <w:uiPriority w:val="0"/>
    <w:rPr>
      <w:rFonts w:ascii="黑体" w:hAnsi="黑体" w:eastAsia="宋体" w:cs="Times New Roman"/>
      <w:b/>
      <w:kern w:val="2"/>
      <w:sz w:val="36"/>
      <w:szCs w:val="24"/>
    </w:rPr>
  </w:style>
  <w:style w:type="character" w:customStyle="1" w:styleId="27">
    <w:name w:val="标题 4 Char"/>
    <w:basedOn w:val="23"/>
    <w:link w:val="2"/>
    <w:qFormat/>
    <w:uiPriority w:val="0"/>
    <w:rPr>
      <w:rFonts w:ascii="宋体" w:hAnsi="宋体" w:eastAsia="宋体" w:cs="Arial"/>
      <w:b/>
      <w:snapToGrid w:val="0"/>
      <w:color w:val="000000"/>
      <w:kern w:val="0"/>
      <w:sz w:val="30"/>
      <w:szCs w:val="21"/>
      <w:u w:val="none"/>
      <w:lang w:val="zh-CN" w:bidi="zh-CN"/>
    </w:rPr>
  </w:style>
  <w:style w:type="character" w:customStyle="1" w:styleId="28">
    <w:name w:val="标题 2 Char"/>
    <w:link w:val="4"/>
    <w:qFormat/>
    <w:uiPriority w:val="0"/>
    <w:rPr>
      <w:rFonts w:ascii="Calibri" w:hAnsi="Calibri" w:eastAsia="宋体"/>
      <w:b/>
      <w:bCs/>
      <w:sz w:val="32"/>
      <w:szCs w:val="32"/>
    </w:rPr>
  </w:style>
  <w:style w:type="paragraph" w:customStyle="1" w:styleId="2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2026-01-07T07:00:30Z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FAD77CD3B64C491F88F24305F0F19332_13</vt:lpwstr>
  </property>
  <property fmtid="{D5CDD505-2E9C-101B-9397-08002B2CF9AE}" pid="4" name="KSOTemplateDocerSaveRecord">
    <vt:lpwstr>eyJoZGlkIjoiMTIzYjBkMDE0MDUwZWU1MDYzY2M0YTJiMmIyMWQyNDYiLCJ1c2VySWQiOiI5MTQ3Njg1NjkifQ==</vt:lpwstr>
  </property>
</Properties>
</file>