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15A64">
      <w:pPr>
        <w:pStyle w:val="4"/>
        <w:bidi w:val="0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提供政府采购政策等证明材料</w:t>
      </w:r>
    </w:p>
    <w:bookmarkEnd w:id="0"/>
    <w:p w14:paraId="1B6CD2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请提供，格式见附件1，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）；</w:t>
      </w:r>
    </w:p>
    <w:p w14:paraId="633167B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（2）残疾人福利性单位声明函（如适用，请提供，格式见附件2）；</w:t>
      </w:r>
    </w:p>
    <w:p w14:paraId="530EA9C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（3）监狱企业、福利企业证明材料（如适用，请提供）；</w:t>
      </w:r>
    </w:p>
    <w:p w14:paraId="5F39CD8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DD0727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特别提醒：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供应商享受中小企业扶持政策的，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供应商的《中小企业声明函》或《残疾人福利性单位声明函》或监狱企业证明文件将随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结果公告一同公布，接受社会监督。</w:t>
      </w:r>
    </w:p>
    <w:p w14:paraId="3053A148">
      <w:pPr>
        <w:pageBreakBefore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附件1：</w:t>
      </w:r>
    </w:p>
    <w:p w14:paraId="276AE267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  <w:t>中小企业声明函（货物）</w:t>
      </w:r>
    </w:p>
    <w:p w14:paraId="5364FD04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AC94A56">
      <w:pPr>
        <w:widowControl w:val="0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（中型企业、小型企业、微型企业）；</w:t>
      </w:r>
    </w:p>
    <w:p w14:paraId="453700A1">
      <w:pPr>
        <w:widowControl w:val="0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 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 企业、微型企业）；</w:t>
      </w:r>
    </w:p>
    <w:p w14:paraId="6174C8B7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…… </w:t>
      </w:r>
    </w:p>
    <w:p w14:paraId="2CA85ED3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970BAE5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34182DF8">
      <w:pPr>
        <w:keepLines w:val="0"/>
        <w:kinsoku/>
        <w:wordWrap/>
        <w:overflowPunct/>
        <w:bidi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1308C79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24C47166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6E4347A9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</w:p>
    <w:p w14:paraId="3315134B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422AE041">
      <w:pP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br w:type="page"/>
      </w:r>
    </w:p>
    <w:p w14:paraId="5FA7B8E5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附件2：</w:t>
      </w:r>
    </w:p>
    <w:p w14:paraId="03940559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残疾人福利性单位声明函</w:t>
      </w:r>
    </w:p>
    <w:p w14:paraId="7CBCF11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62B0CD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7A03975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43171F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17C6F3D9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222093C7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6426783E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9AEE7C5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</w:t>
      </w:r>
      <w:r>
        <w:rPr>
          <w:rFonts w:hint="eastAsia" w:ascii="仿宋" w:hAnsi="仿宋" w:eastAsia="仿宋" w:cs="仿宋"/>
          <w:bCs/>
          <w:color w:val="auto"/>
          <w:highlight w:val="none"/>
        </w:rPr>
        <w:t>。</w:t>
      </w:r>
    </w:p>
    <w:p w14:paraId="138ECB40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附件3：</w:t>
      </w:r>
    </w:p>
    <w:p w14:paraId="026D2FFB"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监狱企业证明函</w:t>
      </w:r>
    </w:p>
    <w:p w14:paraId="74414AC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931B87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223ED21">
      <w:pPr>
        <w:spacing w:line="588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A66DB3B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B68A1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248FF5A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24929D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DB77750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0732E21">
      <w:pPr>
        <w:adjustRightInd w:val="0"/>
        <w:snapToGrid w:val="0"/>
        <w:spacing w:line="360" w:lineRule="auto"/>
        <w:ind w:firstLine="240" w:firstLineChars="1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710C2931BDB1487EAD8BEBC8B1339AFF_13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