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版本号：XAJG（ZFCG）-2025121620260107001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洗涤项目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XAJG（ZFCG）-20251216</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洗涤项目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XAJG（ZFCG）-20251216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洗涤项目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供应商负责本院的工作服、病员服以及病员、工作人员所使用的床上用品及各类织物的日常清洗、消毒、转运等工作。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采购包1（洗涤项目）：属于专门面向中小企业采购。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2、授权书：法定代表人（主要负责人）委托代理人参加磋商时，应提供法定代表人（主要负责人）委托授权书；法定代表人（主要负责人）亲自参加磋商时，应提供法定代表人（主要负责人）身份证明书。</w:t>
      </w:r>
    </w:p>
    <w:p>
      <w:pPr>
        <w:pStyle w:val="null3"/>
      </w:pPr>
      <w:r>
        <w:rPr>
          <w:rFonts w:ascii="仿宋_GB2312" w:hAnsi="仿宋_GB2312" w:cs="仿宋_GB2312" w:eastAsia="仿宋_GB2312"/>
        </w:rPr>
        <w:t>3、税收缴纳证明：提交响应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5、财务状况报告：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7、无重大违法记录：参加本次政府采购活动前3年内在经营活动中没有重大违法记录。</w:t>
      </w:r>
    </w:p>
    <w:p>
      <w:pPr>
        <w:pStyle w:val="null3"/>
      </w:pPr>
      <w:r>
        <w:rPr>
          <w:rFonts w:ascii="仿宋_GB2312" w:hAnsi="仿宋_GB2312" w:cs="仿宋_GB2312" w:eastAsia="仿宋_GB2312"/>
        </w:rPr>
        <w:t>8、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磋商（供应商无须提供，磋商现场查询）。</w:t>
      </w:r>
    </w:p>
    <w:p>
      <w:pPr>
        <w:pStyle w:val="null3"/>
      </w:pPr>
      <w:r>
        <w:rPr>
          <w:rFonts w:ascii="仿宋_GB2312" w:hAnsi="仿宋_GB2312" w:cs="仿宋_GB2312" w:eastAsia="仿宋_GB2312"/>
        </w:rPr>
        <w:t>9、供应商承诺函：供应商非采购人单位职工及家属投资开办，其法人、股东和经营管理人员非采购人单位职工及家属。</w:t>
      </w:r>
    </w:p>
    <w:p>
      <w:pPr>
        <w:pStyle w:val="null3"/>
      </w:pPr>
      <w:r>
        <w:rPr>
          <w:rFonts w:ascii="仿宋_GB2312" w:hAnsi="仿宋_GB2312" w:cs="仿宋_GB2312" w:eastAsia="仿宋_GB2312"/>
        </w:rPr>
        <w:t>10、非联合体承诺书：本项目不接受联合体磋商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牛超、顾扬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招标代理服务费以中标（成交）供应商的中标（成交）金额为基数，参照《国家计委关于印发&lt;招标代理服务收费管理暂行办法&gt;的通知》（计价格[2002]1980号）规定标准的基础上下浮30%、不足3900元的按照3900收取，由中标（成交）供应商向受托方支付。 2.由中标单位在领取中标通知书前一次性支付。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联系人：牛超、顾扬</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负责本院的工作服、病员服以及病员、工作人员所使用的床上用品及各类织物的日常清洗、消毒、转运等工作。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全院被服洗涤服务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标的名称：全院被服洗涤服务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left"/>
            </w:pPr>
            <w:r>
              <w:rPr>
                <w:rFonts w:ascii="仿宋_GB2312" w:hAnsi="仿宋_GB2312" w:cs="仿宋_GB2312" w:eastAsia="仿宋_GB2312"/>
                <w:sz w:val="24"/>
                <w:b/>
                <w:color w:val="000000"/>
              </w:rPr>
              <w:t>一、项目概况</w:t>
            </w:r>
          </w:p>
          <w:p>
            <w:pPr>
              <w:pStyle w:val="null3"/>
              <w:ind w:firstLine="520"/>
            </w:pPr>
            <w:r>
              <w:rPr>
                <w:rFonts w:ascii="仿宋_GB2312" w:hAnsi="仿宋_GB2312" w:cs="仿宋_GB2312" w:eastAsia="仿宋_GB2312"/>
                <w:sz w:val="24"/>
                <w:color w:val="000000"/>
              </w:rPr>
              <w:t>中标单位负责本院的工作服、</w:t>
            </w:r>
            <w:r>
              <w:rPr>
                <w:rFonts w:ascii="仿宋_GB2312" w:hAnsi="仿宋_GB2312" w:cs="仿宋_GB2312" w:eastAsia="仿宋_GB2312"/>
                <w:sz w:val="24"/>
                <w:color w:val="000000"/>
              </w:rPr>
              <w:t>病员服</w:t>
            </w:r>
            <w:r>
              <w:rPr>
                <w:rFonts w:ascii="仿宋_GB2312" w:hAnsi="仿宋_GB2312" w:cs="仿宋_GB2312" w:eastAsia="仿宋_GB2312"/>
                <w:sz w:val="24"/>
                <w:color w:val="000000"/>
              </w:rPr>
              <w:t>以及病员、</w:t>
            </w:r>
            <w:r>
              <w:rPr>
                <w:rFonts w:ascii="仿宋_GB2312" w:hAnsi="仿宋_GB2312" w:cs="仿宋_GB2312" w:eastAsia="仿宋_GB2312"/>
                <w:sz w:val="24"/>
                <w:color w:val="000000"/>
              </w:rPr>
              <w:t>工作人员</w:t>
            </w:r>
            <w:r>
              <w:rPr>
                <w:rFonts w:ascii="仿宋_GB2312" w:hAnsi="仿宋_GB2312" w:cs="仿宋_GB2312" w:eastAsia="仿宋_GB2312"/>
                <w:sz w:val="24"/>
                <w:color w:val="000000"/>
              </w:rPr>
              <w:t>所使用的床上用品</w:t>
            </w:r>
            <w:r>
              <w:rPr>
                <w:rFonts w:ascii="仿宋_GB2312" w:hAnsi="仿宋_GB2312" w:cs="仿宋_GB2312" w:eastAsia="仿宋_GB2312"/>
                <w:sz w:val="24"/>
                <w:color w:val="000000"/>
              </w:rPr>
              <w:t>及各类织物</w:t>
            </w:r>
            <w:r>
              <w:rPr>
                <w:rFonts w:ascii="仿宋_GB2312" w:hAnsi="仿宋_GB2312" w:cs="仿宋_GB2312" w:eastAsia="仿宋_GB2312"/>
                <w:sz w:val="24"/>
                <w:color w:val="000000"/>
              </w:rPr>
              <w:t>的日常清洗、消毒、转运等工作。</w:t>
            </w:r>
          </w:p>
          <w:p>
            <w:pPr>
              <w:pStyle w:val="null3"/>
              <w:spacing w:before="315"/>
              <w:ind w:left="420"/>
              <w:jc w:val="left"/>
            </w:pPr>
            <w:r>
              <w:rPr>
                <w:rFonts w:ascii="仿宋_GB2312" w:hAnsi="仿宋_GB2312" w:cs="仿宋_GB2312" w:eastAsia="仿宋_GB2312"/>
                <w:sz w:val="24"/>
                <w:b/>
                <w:color w:val="000000"/>
              </w:rPr>
              <w:t>二、服务内容（包括工作区域、工作内容等）</w:t>
            </w:r>
          </w:p>
          <w:p>
            <w:pPr>
              <w:pStyle w:val="null3"/>
              <w:numPr>
                <w:ilvl w:val="0"/>
                <w:numId w:val="1"/>
              </w:numPr>
              <w:jc w:val="left"/>
            </w:pPr>
            <w:r>
              <w:rPr>
                <w:rFonts w:ascii="仿宋_GB2312" w:hAnsi="仿宋_GB2312" w:cs="仿宋_GB2312" w:eastAsia="仿宋_GB2312"/>
                <w:sz w:val="24"/>
                <w:color w:val="000000"/>
              </w:rPr>
              <w:t>被服、病员服、敷料、工作服、窗帘等物品的洗涤、熨烫、整理、缝补、钉扣、钉带、接送。</w:t>
            </w:r>
          </w:p>
          <w:tbl>
            <w:tblPr>
              <w:tblInd w:type="dxa" w:w="135"/>
              <w:tblBorders>
                <w:top w:val="none" w:color="000000" w:sz="4"/>
                <w:left w:val="none" w:color="000000" w:sz="4"/>
                <w:bottom w:val="none" w:color="000000" w:sz="4"/>
                <w:right w:val="none" w:color="000000" w:sz="4"/>
                <w:insideH w:val="none"/>
                <w:insideV w:val="none"/>
              </w:tblBorders>
            </w:tblPr>
            <w:tblGrid>
              <w:gridCol w:w="345"/>
              <w:gridCol w:w="464"/>
              <w:gridCol w:w="259"/>
              <w:gridCol w:w="1041"/>
              <w:gridCol w:w="437"/>
            </w:tblGrid>
            <w:tr>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1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工作内容</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限价</w:t>
                  </w:r>
                  <w:r>
                    <w:rPr>
                      <w:rFonts w:ascii="仿宋_GB2312" w:hAnsi="仿宋_GB2312" w:cs="仿宋_GB2312" w:eastAsia="仿宋_GB2312"/>
                      <w:sz w:val="24"/>
                      <w:color w:val="000000"/>
                    </w:rPr>
                    <w:t>（单位：元）</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床单</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洗涤、消毒、熨烫、折叠、缝补、配送</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被套</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洗涤、消毒、熨烫、折叠、配送缝补、</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枕套</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洗涤、消毒、熨烫、折叠、配送缝补、</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褥套</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洗涤、消毒、熨烫、折叠、配送缝补、</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病员服</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洗涤、消毒、熨烫、折叠、配送</w:t>
                  </w:r>
                  <w:r>
                    <w:rPr>
                      <w:rFonts w:ascii="仿宋_GB2312" w:hAnsi="仿宋_GB2312" w:cs="仿宋_GB2312" w:eastAsia="仿宋_GB2312"/>
                      <w:sz w:val="24"/>
                      <w:color w:val="000000"/>
                    </w:rPr>
                    <w:t>、</w:t>
                  </w:r>
                  <w:r>
                    <w:rPr>
                      <w:rFonts w:ascii="仿宋_GB2312" w:hAnsi="仿宋_GB2312" w:cs="仿宋_GB2312" w:eastAsia="仿宋_GB2312"/>
                      <w:sz w:val="24"/>
                      <w:color w:val="000000"/>
                    </w:rPr>
                    <w:t>缝补</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绒衣</w:t>
                  </w:r>
                  <w:r>
                    <w:rPr>
                      <w:rFonts w:ascii="仿宋_GB2312" w:hAnsi="仿宋_GB2312" w:cs="仿宋_GB2312" w:eastAsia="仿宋_GB2312"/>
                      <w:sz w:val="24"/>
                      <w:color w:val="000000"/>
                    </w:rPr>
                    <w:t>、</w:t>
                  </w:r>
                  <w:r>
                    <w:rPr>
                      <w:rFonts w:ascii="仿宋_GB2312" w:hAnsi="仿宋_GB2312" w:cs="仿宋_GB2312" w:eastAsia="仿宋_GB2312"/>
                      <w:sz w:val="24"/>
                      <w:color w:val="000000"/>
                    </w:rPr>
                    <w:t>裤</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洗涤、消毒、熨烫、折叠、配送缝补、</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棉衣</w:t>
                  </w:r>
                  <w:r>
                    <w:rPr>
                      <w:rFonts w:ascii="仿宋_GB2312" w:hAnsi="仿宋_GB2312" w:cs="仿宋_GB2312" w:eastAsia="仿宋_GB2312"/>
                      <w:sz w:val="24"/>
                      <w:color w:val="000000"/>
                    </w:rPr>
                    <w:t>、裤</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洗涤、消毒、熨烫、折叠、配送缝补、</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工作服</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洗涤、消毒、熨烫、折叠、配送缝补、</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大窗帘</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洗涤、消毒、熨烫、折叠、配送缝补、</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小窗帘</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洗涤、消毒、熨烫、折叠、配送缝补、</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少量临时物品</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洗涤、消毒、熨烫、折叠、配送缝补、</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r>
          </w:tbl>
          <w:p>
            <w:pPr>
              <w:pStyle w:val="null3"/>
            </w:pPr>
            <w:r>
              <w:rPr>
                <w:rFonts w:ascii="仿宋_GB2312" w:hAnsi="仿宋_GB2312" w:cs="仿宋_GB2312" w:eastAsia="仿宋_GB2312"/>
                <w:sz w:val="24"/>
                <w:color w:val="000000"/>
              </w:rPr>
              <w:t>二、每日送洗的所有被服（收污），必须于次日早晨</w:t>
            </w:r>
            <w:r>
              <w:rPr>
                <w:rFonts w:ascii="仿宋_GB2312" w:hAnsi="仿宋_GB2312" w:cs="仿宋_GB2312" w:eastAsia="仿宋_GB2312"/>
                <w:sz w:val="24"/>
                <w:color w:val="000000"/>
              </w:rPr>
              <w:t>8点前送回（返净），返净率不得低于90% ，每日统计并反馈，</w:t>
            </w:r>
            <w:r>
              <w:rPr>
                <w:rFonts w:ascii="仿宋_GB2312" w:hAnsi="仿宋_GB2312" w:cs="仿宋_GB2312" w:eastAsia="仿宋_GB2312"/>
                <w:sz w:val="24"/>
                <w:color w:val="000000"/>
              </w:rPr>
              <w:t>每日返净率低于</w:t>
            </w:r>
            <w:r>
              <w:rPr>
                <w:rFonts w:ascii="仿宋_GB2312" w:hAnsi="仿宋_GB2312" w:cs="仿宋_GB2312" w:eastAsia="仿宋_GB2312"/>
                <w:sz w:val="24"/>
                <w:color w:val="000000"/>
              </w:rPr>
              <w:t>90%按每件洗涤费用的10%在当月的洗涤费中扣除；</w:t>
            </w:r>
          </w:p>
          <w:p>
            <w:pPr>
              <w:pStyle w:val="null3"/>
              <w:jc w:val="both"/>
            </w:pPr>
            <w:r>
              <w:rPr>
                <w:rFonts w:ascii="仿宋_GB2312" w:hAnsi="仿宋_GB2312" w:cs="仿宋_GB2312" w:eastAsia="仿宋_GB2312"/>
                <w:sz w:val="24"/>
                <w:color w:val="000000"/>
              </w:rPr>
              <w:t>三、所有丢失、送错、损坏的被服必须赔偿，</w:t>
            </w:r>
            <w:r>
              <w:rPr>
                <w:rFonts w:ascii="仿宋_GB2312" w:hAnsi="仿宋_GB2312" w:cs="仿宋_GB2312" w:eastAsia="仿宋_GB2312"/>
                <w:sz w:val="24"/>
                <w:color w:val="000000"/>
              </w:rPr>
              <w:t>按采购价原价赔偿，</w:t>
            </w:r>
            <w:r>
              <w:rPr>
                <w:rFonts w:ascii="仿宋_GB2312" w:hAnsi="仿宋_GB2312" w:cs="仿宋_GB2312" w:eastAsia="仿宋_GB2312"/>
                <w:sz w:val="24"/>
                <w:color w:val="000000"/>
              </w:rPr>
              <w:t>在当月的洗涤费中扣除</w:t>
            </w:r>
            <w:r>
              <w:rPr>
                <w:rFonts w:ascii="仿宋_GB2312" w:hAnsi="仿宋_GB2312" w:cs="仿宋_GB2312" w:eastAsia="仿宋_GB2312"/>
                <w:sz w:val="24"/>
                <w:color w:val="000000"/>
              </w:rPr>
              <w:t>；每</w:t>
            </w:r>
            <w:r>
              <w:rPr>
                <w:rFonts w:ascii="仿宋_GB2312" w:hAnsi="仿宋_GB2312" w:cs="仿宋_GB2312" w:eastAsia="仿宋_GB2312"/>
                <w:sz w:val="24"/>
                <w:color w:val="000000"/>
              </w:rPr>
              <w:t>2个月结算一次，结算前由乙方来人，与甲方人员共同核对件数，赔偿后结算；</w:t>
            </w:r>
          </w:p>
          <w:p>
            <w:pPr>
              <w:pStyle w:val="null3"/>
              <w:jc w:val="both"/>
            </w:pPr>
            <w:r>
              <w:rPr>
                <w:rFonts w:ascii="仿宋_GB2312" w:hAnsi="仿宋_GB2312" w:cs="仿宋_GB2312" w:eastAsia="仿宋_GB2312"/>
                <w:sz w:val="24"/>
                <w:color w:val="000000"/>
              </w:rPr>
              <w:t>四、所有因洗涤原因造成的破损、染色和掉色必须赔偿，按</w:t>
            </w:r>
            <w:r>
              <w:rPr>
                <w:rFonts w:ascii="仿宋_GB2312" w:hAnsi="仿宋_GB2312" w:cs="仿宋_GB2312" w:eastAsia="仿宋_GB2312"/>
                <w:sz w:val="24"/>
                <w:color w:val="000000"/>
              </w:rPr>
              <w:t>采购价进行赔偿，</w:t>
            </w:r>
            <w:r>
              <w:rPr>
                <w:rFonts w:ascii="仿宋_GB2312" w:hAnsi="仿宋_GB2312" w:cs="仿宋_GB2312" w:eastAsia="仿宋_GB2312"/>
                <w:sz w:val="24"/>
                <w:color w:val="000000"/>
              </w:rPr>
              <w:t>在当月的洗涤费中扣除</w:t>
            </w:r>
            <w:r>
              <w:rPr>
                <w:rFonts w:ascii="仿宋_GB2312" w:hAnsi="仿宋_GB2312" w:cs="仿宋_GB2312" w:eastAsia="仿宋_GB2312"/>
                <w:sz w:val="24"/>
                <w:color w:val="000000"/>
              </w:rPr>
              <w:t>，老旧被服不在此列，但必须送回由甲方自行报废处理；</w:t>
            </w:r>
          </w:p>
          <w:p>
            <w:pPr>
              <w:pStyle w:val="null3"/>
              <w:jc w:val="both"/>
            </w:pPr>
            <w:r>
              <w:rPr>
                <w:rFonts w:ascii="仿宋_GB2312" w:hAnsi="仿宋_GB2312" w:cs="仿宋_GB2312" w:eastAsia="仿宋_GB2312"/>
                <w:sz w:val="24"/>
                <w:color w:val="000000"/>
              </w:rPr>
              <w:t>五、缝补所需一切辅料（扣子、松紧等）由乙方提供。</w:t>
            </w:r>
          </w:p>
          <w:p>
            <w:pPr>
              <w:pStyle w:val="null3"/>
              <w:jc w:val="both"/>
            </w:pPr>
            <w:r>
              <w:rPr>
                <w:rFonts w:ascii="仿宋_GB2312" w:hAnsi="仿宋_GB2312" w:cs="仿宋_GB2312" w:eastAsia="仿宋_GB2312"/>
                <w:sz w:val="24"/>
                <w:color w:val="000000"/>
              </w:rPr>
              <w:t>六、每月接到三次未洗净投诉，按</w:t>
            </w:r>
            <w:r>
              <w:rPr>
                <w:rFonts w:ascii="仿宋_GB2312" w:hAnsi="仿宋_GB2312" w:cs="仿宋_GB2312" w:eastAsia="仿宋_GB2312"/>
                <w:sz w:val="24"/>
                <w:color w:val="000000"/>
              </w:rPr>
              <w:t>1%当月总洗涤费罚款，在当月的洗涤费中扣除；</w:t>
            </w:r>
          </w:p>
          <w:p>
            <w:pPr>
              <w:pStyle w:val="null3"/>
              <w:spacing w:before="315"/>
              <w:ind w:left="420"/>
              <w:jc w:val="left"/>
            </w:pPr>
            <w:r>
              <w:rPr>
                <w:rFonts w:ascii="仿宋_GB2312" w:hAnsi="仿宋_GB2312" w:cs="仿宋_GB2312" w:eastAsia="仿宋_GB2312"/>
                <w:sz w:val="24"/>
                <w:b/>
                <w:color w:val="000000"/>
              </w:rPr>
              <w:t>三、技术要求（如有，一般适合于技术服务项目）</w:t>
            </w:r>
          </w:p>
          <w:p>
            <w:pPr>
              <w:pStyle w:val="null3"/>
              <w:spacing w:before="315"/>
              <w:ind w:left="420"/>
              <w:jc w:val="left"/>
            </w:pPr>
            <w:r>
              <w:rPr>
                <w:rFonts w:ascii="仿宋_GB2312" w:hAnsi="仿宋_GB2312" w:cs="仿宋_GB2312" w:eastAsia="仿宋_GB2312"/>
                <w:sz w:val="24"/>
                <w:b/>
                <w:color w:val="000000"/>
              </w:rPr>
              <w:t>1、所有被服必须分类对齐捆扎，不得两头捆扎；</w:t>
            </w:r>
          </w:p>
          <w:p>
            <w:pPr>
              <w:pStyle w:val="null3"/>
              <w:spacing w:before="315"/>
              <w:ind w:left="420"/>
              <w:jc w:val="left"/>
            </w:pPr>
            <w:r>
              <w:rPr>
                <w:rFonts w:ascii="仿宋_GB2312" w:hAnsi="仿宋_GB2312" w:cs="仿宋_GB2312" w:eastAsia="仿宋_GB2312"/>
                <w:sz w:val="24"/>
                <w:b/>
                <w:color w:val="000000"/>
              </w:rPr>
              <w:t>2、每捆10件或20件，不得混扎；</w:t>
            </w:r>
          </w:p>
          <w:p>
            <w:pPr>
              <w:pStyle w:val="null3"/>
              <w:spacing w:before="315"/>
              <w:ind w:left="420"/>
              <w:jc w:val="left"/>
            </w:pPr>
            <w:r>
              <w:rPr>
                <w:rFonts w:ascii="仿宋_GB2312" w:hAnsi="仿宋_GB2312" w:cs="仿宋_GB2312" w:eastAsia="仿宋_GB2312"/>
                <w:sz w:val="24"/>
                <w:b/>
                <w:color w:val="000000"/>
              </w:rPr>
              <w:t>3、返洗不得留厂，每周五统一送回返洗。</w:t>
            </w:r>
          </w:p>
          <w:p>
            <w:pPr>
              <w:pStyle w:val="null3"/>
              <w:spacing w:before="315"/>
              <w:ind w:left="420"/>
              <w:jc w:val="left"/>
            </w:pPr>
            <w:r>
              <w:rPr>
                <w:rFonts w:ascii="仿宋_GB2312" w:hAnsi="仿宋_GB2312" w:cs="仿宋_GB2312" w:eastAsia="仿宋_GB2312"/>
                <w:sz w:val="24"/>
                <w:b/>
                <w:color w:val="000000"/>
              </w:rPr>
              <w:t>四、服务要求（如对人员配置、专业设备、服务标准等）</w:t>
            </w:r>
          </w:p>
          <w:p>
            <w:pPr>
              <w:pStyle w:val="null3"/>
              <w:jc w:val="left"/>
            </w:pPr>
            <w:r>
              <w:rPr>
                <w:rFonts w:ascii="仿宋_GB2312" w:hAnsi="仿宋_GB2312" w:cs="仿宋_GB2312" w:eastAsia="仿宋_GB2312"/>
                <w:sz w:val="24"/>
                <w:color w:val="000000"/>
              </w:rPr>
              <w:t>在合同执行过程中需要服务商应执行的相关服务标准和应当履行的相关义务。</w:t>
            </w:r>
          </w:p>
          <w:p>
            <w:pPr>
              <w:pStyle w:val="null3"/>
              <w:spacing w:before="315"/>
              <w:ind w:left="420"/>
              <w:jc w:val="left"/>
            </w:pPr>
            <w:r>
              <w:rPr>
                <w:rFonts w:ascii="仿宋_GB2312" w:hAnsi="仿宋_GB2312" w:cs="仿宋_GB2312" w:eastAsia="仿宋_GB2312"/>
                <w:sz w:val="24"/>
                <w:b/>
                <w:color w:val="000000"/>
              </w:rPr>
              <w:t>五、商务要求（如服务期限、款项结算等）</w:t>
            </w:r>
          </w:p>
          <w:p>
            <w:pPr>
              <w:pStyle w:val="null3"/>
              <w:jc w:val="left"/>
            </w:pPr>
            <w:r>
              <w:rPr>
                <w:rFonts w:ascii="仿宋_GB2312" w:hAnsi="仿宋_GB2312" w:cs="仿宋_GB2312" w:eastAsia="仿宋_GB2312"/>
                <w:sz w:val="24"/>
                <w:color w:val="000000"/>
              </w:rPr>
              <w:t>（一）服务期限</w:t>
            </w:r>
          </w:p>
          <w:p>
            <w:pPr>
              <w:pStyle w:val="null3"/>
              <w:jc w:val="left"/>
            </w:pPr>
            <w:r>
              <w:rPr>
                <w:rFonts w:ascii="仿宋_GB2312" w:hAnsi="仿宋_GB2312" w:cs="仿宋_GB2312" w:eastAsia="仿宋_GB2312"/>
                <w:sz w:val="24"/>
                <w:color w:val="000000"/>
              </w:rPr>
              <w:t>应指明起止时间，或指明服务时长，或指明开始</w:t>
            </w:r>
            <w:r>
              <w:rPr>
                <w:rFonts w:ascii="仿宋_GB2312" w:hAnsi="仿宋_GB2312" w:cs="仿宋_GB2312" w:eastAsia="仿宋_GB2312"/>
                <w:sz w:val="24"/>
                <w:color w:val="000000"/>
              </w:rPr>
              <w:t>/结束条件。注意：设定服务期时应充分考虑政府采购的周期，避免出现“项目还未开标，时间节点已过”的情况。对于持续性服务，一般指明“服务期”；对于间断性服务，一般指明“合同有效期”。</w:t>
            </w:r>
          </w:p>
          <w:p>
            <w:pPr>
              <w:pStyle w:val="null3"/>
              <w:jc w:val="left"/>
            </w:pPr>
            <w:r>
              <w:rPr>
                <w:rFonts w:ascii="仿宋_GB2312" w:hAnsi="仿宋_GB2312" w:cs="仿宋_GB2312" w:eastAsia="仿宋_GB2312"/>
                <w:sz w:val="24"/>
                <w:color w:val="000000"/>
              </w:rPr>
              <w:t>服</w:t>
            </w:r>
            <w:r>
              <w:rPr>
                <w:rFonts w:ascii="仿宋_GB2312" w:hAnsi="仿宋_GB2312" w:cs="仿宋_GB2312" w:eastAsia="仿宋_GB2312"/>
                <w:sz w:val="24"/>
                <w:color w:val="000000"/>
              </w:rPr>
              <w:t>务期：</w:t>
            </w:r>
            <w:r>
              <w:rPr>
                <w:rFonts w:ascii="仿宋_GB2312" w:hAnsi="仿宋_GB2312" w:cs="仿宋_GB2312" w:eastAsia="仿宋_GB2312"/>
                <w:sz w:val="24"/>
                <w:color w:val="000000"/>
              </w:rPr>
              <w:t>签订合同后，服务期一年。</w:t>
            </w:r>
          </w:p>
          <w:p>
            <w:pPr>
              <w:pStyle w:val="null3"/>
              <w:jc w:val="left"/>
            </w:pPr>
            <w:r>
              <w:rPr>
                <w:rFonts w:ascii="仿宋_GB2312" w:hAnsi="仿宋_GB2312" w:cs="仿宋_GB2312" w:eastAsia="仿宋_GB2312"/>
                <w:sz w:val="24"/>
                <w:color w:val="000000"/>
              </w:rPr>
              <w:t>（二）款项结算</w:t>
            </w:r>
          </w:p>
          <w:p>
            <w:pPr>
              <w:pStyle w:val="null3"/>
              <w:ind w:firstLine="480"/>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服务质量按月考核，</w:t>
            </w:r>
            <w:r>
              <w:rPr>
                <w:rFonts w:ascii="仿宋_GB2312" w:hAnsi="仿宋_GB2312" w:cs="仿宋_GB2312" w:eastAsia="仿宋_GB2312"/>
                <w:sz w:val="24"/>
                <w:color w:val="000000"/>
              </w:rPr>
              <w:t>每两月据实结算一次</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）支付方式：银行转账。</w:t>
            </w:r>
          </w:p>
          <w:p>
            <w:pPr>
              <w:pStyle w:val="null3"/>
              <w:spacing w:before="31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）结算方式：乙方开具发票与甲方结算</w:t>
            </w:r>
            <w:r>
              <w:rPr>
                <w:rFonts w:ascii="仿宋_GB2312" w:hAnsi="仿宋_GB2312" w:cs="仿宋_GB2312" w:eastAsia="仿宋_GB2312"/>
                <w:sz w:val="24"/>
                <w:color w:val="000000"/>
              </w:rPr>
              <w:t>。</w:t>
            </w:r>
            <w:r>
              <w:rPr>
                <w:rFonts w:ascii="仿宋_GB2312" w:hAnsi="仿宋_GB2312" w:cs="仿宋_GB2312" w:eastAsia="仿宋_GB2312"/>
                <w:sz w:val="24"/>
                <w:color w:val="000000"/>
              </w:rPr>
              <w:t>因乙方延迟开具发票的，甲方有权延迟支付款项且不承担任何责任，同时并不因此免除乙方的任意合同义务。</w:t>
            </w:r>
          </w:p>
          <w:p>
            <w:pPr>
              <w:pStyle w:val="null3"/>
              <w:spacing w:before="315"/>
              <w:jc w:val="left"/>
            </w:pPr>
            <w:r>
              <w:rPr>
                <w:rFonts w:ascii="仿宋_GB2312" w:hAnsi="仿宋_GB2312" w:cs="仿宋_GB2312" w:eastAsia="仿宋_GB2312"/>
                <w:sz w:val="24"/>
                <w:b/>
                <w:color w:val="000000"/>
              </w:rPr>
              <w:t>六、其他（如有要求，请写明）</w:t>
            </w:r>
          </w:p>
          <w:p>
            <w:pPr>
              <w:pStyle w:val="null3"/>
              <w:jc w:val="left"/>
            </w:pPr>
            <w:r>
              <w:rPr>
                <w:rFonts w:ascii="仿宋_GB2312" w:hAnsi="仿宋_GB2312" w:cs="仿宋_GB2312" w:eastAsia="仿宋_GB2312"/>
                <w:sz w:val="24"/>
                <w:color w:val="000000"/>
              </w:rPr>
              <w:t>（一）对服务商的业绩要求</w:t>
            </w:r>
          </w:p>
          <w:p>
            <w:pPr>
              <w:pStyle w:val="null3"/>
              <w:jc w:val="left"/>
            </w:pPr>
            <w:r>
              <w:rPr>
                <w:rFonts w:ascii="仿宋_GB2312" w:hAnsi="仿宋_GB2312" w:cs="仿宋_GB2312" w:eastAsia="仿宋_GB2312"/>
                <w:sz w:val="24"/>
                <w:color w:val="000000"/>
              </w:rPr>
              <w:t>供应商提供相关业绩</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）质量验收标准或规范</w:t>
            </w:r>
          </w:p>
          <w:p>
            <w:pPr>
              <w:pStyle w:val="null3"/>
              <w:jc w:val="left"/>
            </w:pPr>
            <w:r>
              <w:rPr>
                <w:rFonts w:ascii="仿宋_GB2312" w:hAnsi="仿宋_GB2312" w:cs="仿宋_GB2312" w:eastAsia="仿宋_GB2312"/>
                <w:sz w:val="24"/>
                <w:color w:val="000000"/>
              </w:rPr>
              <w:t>现行的国家标准或国家行政部门颁布的法律法规、规章制度等，是项目验收的另一个重要依据。没有国家标准的，可以参考行业标准。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）违约责任</w:t>
            </w:r>
          </w:p>
          <w:p>
            <w:pPr>
              <w:pStyle w:val="null3"/>
              <w:jc w:val="left"/>
            </w:pPr>
            <w:r>
              <w:rPr>
                <w:rFonts w:ascii="仿宋_GB2312" w:hAnsi="仿宋_GB2312" w:cs="仿宋_GB2312" w:eastAsia="仿宋_GB2312"/>
                <w:sz w:val="24"/>
                <w:color w:val="000000"/>
              </w:rPr>
              <w:t>一般与合同款项的支付相关，注意不要超出《民法典》中对于违约的责任上限。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签订合同后，服务期一年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西安市精神卫生中心指定地点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每两个月据实结算一次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每两个月据实结算一次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每两个月据实结算一次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每两个月据实结算一次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每两个月据实结算一次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每两个月据实结算一次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2、所有丢失、送错、非洗涤原因损坏的被服必须原价赔偿，在当月的洗涤费中扣除；每2个月结算一次，结算前由乙方工作人员与甲方人员共同核对件数，计算赔偿总额后完成结算； 3、所有因乙方原因造成的破损、染色必须赔偿，按采购价进行赔偿，在当月的洗涤费中扣除； 4、每月接到三次未洗净投诉，按1%当月总洗涤费罚款，在当月的洗涤费中扣除； 5、乙方累计【3】次未按约定收送洗被服，或返洗【3】次后仍未达到甲方要求，视为乙方根本违约，甲方有权单方解除合同。乙方应当按照合同总额的【10】%向甲方支付违约金，违约金不足以弥补损失的，由乙方另行支付。违约金可先行在甲方当月应支付价款中扣除。 6、因乙方的洗涤服务未达到质量标准给甲方或第三方造成损失的，乙方应向甲方或第三方进行赔偿。甲方因此遭索赔的，有权向乙方追偿。同时，甲方有权解除本合同，同时乙方应按照合同总额的【30】%向甲方支付违约金，违约金不足以弥补甲方损失的，由乙方另行支付。 7、乙方不得将本项目洗涤服务进行分包或转包。若甲方发现乙方分包或转包的，甲方有权解除本合同，同时乙方应按照合同总额的【30】%向甲方支付违约金，违约金不足以弥补甲方损失的，由乙方另行支付。</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 响应函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法定代表人（主要负责人）委托代理人参加磋商时，应提供法定代表人（主要负责人）委托授权书；法定代表人（主要负责人）亲自参加磋商时，应提供法定代表人（主要负责人）身份证明书。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具有履行本合同所必需的设备和专业技术能力的书面声明.docx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参加本次政府采购活动前3年内在经营活动中没有重大违法记录。</w:t>
            </w:r>
          </w:p>
        </w:tc>
        <w:tc>
          <w:tcPr>
            <w:tcW w:type="dxa" w:w="1661"/>
          </w:tcPr>
          <w:p>
            <w:pPr>
              <w:pStyle w:val="null3"/>
            </w:pPr>
            <w:r>
              <w:rPr>
                <w:rFonts w:ascii="仿宋_GB2312" w:hAnsi="仿宋_GB2312" w:cs="仿宋_GB2312" w:eastAsia="仿宋_GB2312"/>
              </w:rPr>
              <w:t>供应商无重大违法记录书面声明.docx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磋商（供应商无须提供，磋商现场查询）。</w:t>
            </w:r>
          </w:p>
        </w:tc>
        <w:tc>
          <w:tcPr>
            <w:tcW w:type="dxa" w:w="1661"/>
          </w:tcPr>
          <w:p>
            <w:pPr>
              <w:pStyle w:val="null3"/>
            </w:pPr>
            <w:r>
              <w:rPr>
                <w:rFonts w:ascii="仿宋_GB2312" w:hAnsi="仿宋_GB2312" w:cs="仿宋_GB2312" w:eastAsia="仿宋_GB2312"/>
              </w:rPr>
              <w:t>供应商应提交的相关资格证明材料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w:t>
            </w:r>
          </w:p>
        </w:tc>
        <w:tc>
          <w:tcPr>
            <w:tcW w:type="dxa" w:w="1661"/>
          </w:tcPr>
          <w:p>
            <w:pPr>
              <w:pStyle w:val="null3"/>
            </w:pPr>
            <w:r>
              <w:rPr>
                <w:rFonts w:ascii="仿宋_GB2312" w:hAnsi="仿宋_GB2312" w:cs="仿宋_GB2312" w:eastAsia="仿宋_GB2312"/>
              </w:rPr>
              <w:t>供应商承诺函.docx 供应商承诺书.docx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联合体承诺书.docx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 盖章。</w:t>
            </w:r>
          </w:p>
        </w:tc>
        <w:tc>
          <w:tcPr>
            <w:tcW w:type="dxa" w:w="1661"/>
          </w:tcPr>
          <w:p>
            <w:pPr>
              <w:pStyle w:val="null3"/>
            </w:pPr>
            <w:r>
              <w:rPr>
                <w:rFonts w:ascii="仿宋_GB2312" w:hAnsi="仿宋_GB2312" w:cs="仿宋_GB2312" w:eastAsia="仿宋_GB2312"/>
              </w:rPr>
              <w:t>服务内容及服务邀请应答表 法定代表人身份证明、法定代表人授权.docx 中小企业声明函 商务应答表 供应商应提交的相关资格证明材料 报价表 具有履行本合同所必需的设备和专业技术能力的书面声明.docx 供应商承诺函.docx 供应商承诺书.docx 投标人应提交的相关资格证明材料 供应商无重大违法记录书面声明.docx 响应文件封面 政府采购供应商拒绝政府采购领域商业贿赂承诺书.docx 企业业绩一览表.docx 联合体承诺书.docx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签订合同后，服务期一年。</w:t>
            </w:r>
          </w:p>
        </w:tc>
        <w:tc>
          <w:tcPr>
            <w:tcW w:type="dxa" w:w="1661"/>
          </w:tcPr>
          <w:p>
            <w:pPr>
              <w:pStyle w:val="null3"/>
            </w:pPr>
            <w:r>
              <w:rPr>
                <w:rFonts w:ascii="仿宋_GB2312" w:hAnsi="仿宋_GB2312" w:cs="仿宋_GB2312" w:eastAsia="仿宋_GB2312"/>
              </w:rPr>
              <w:t>服务内容及服务邀请应答表 商务应答表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西安市精神卫生中心指定地点。</w:t>
            </w:r>
          </w:p>
        </w:tc>
        <w:tc>
          <w:tcPr>
            <w:tcW w:type="dxa" w:w="1661"/>
          </w:tcPr>
          <w:p>
            <w:pPr>
              <w:pStyle w:val="null3"/>
            </w:pPr>
            <w:r>
              <w:rPr>
                <w:rFonts w:ascii="仿宋_GB2312" w:hAnsi="仿宋_GB2312" w:cs="仿宋_GB2312" w:eastAsia="仿宋_GB2312"/>
              </w:rPr>
              <w:t>服务内容及服务邀请应答表 商务应答表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 他实质 性要求</w:t>
            </w:r>
          </w:p>
        </w:tc>
        <w:tc>
          <w:tcPr>
            <w:tcW w:type="dxa" w:w="1661"/>
          </w:tcPr>
          <w:p>
            <w:pPr>
              <w:pStyle w:val="null3"/>
            </w:pPr>
            <w:r>
              <w:rPr>
                <w:rFonts w:ascii="仿宋_GB2312" w:hAnsi="仿宋_GB2312" w:cs="仿宋_GB2312" w:eastAsia="仿宋_GB2312"/>
              </w:rPr>
              <w:t>服务内容及服务邀请应答表 商务应答表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服务流程</w:t>
            </w:r>
          </w:p>
        </w:tc>
        <w:tc>
          <w:tcPr>
            <w:tcW w:type="dxa" w:w="2492"/>
          </w:tcPr>
          <w:p>
            <w:pPr>
              <w:pStyle w:val="null3"/>
            </w:pPr>
            <w:r>
              <w:rPr>
                <w:rFonts w:ascii="仿宋_GB2312" w:hAnsi="仿宋_GB2312" w:cs="仿宋_GB2312" w:eastAsia="仿宋_GB2312"/>
              </w:rPr>
              <w:t>根据供应商提供的事前、事中、事后的各种服务的科学、合理、完备性等方面的说明。对说明合理、齐全，表达深入，满足各项要求得(4-5]分； 对说明理解基本齐全，针对性一般得(2-4]分； 对说明理解粗略简单，无针对性得(1-2]分。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洗涤要求</w:t>
            </w:r>
          </w:p>
        </w:tc>
        <w:tc>
          <w:tcPr>
            <w:tcW w:type="dxa" w:w="2492"/>
          </w:tcPr>
          <w:p>
            <w:pPr>
              <w:pStyle w:val="null3"/>
            </w:pPr>
            <w:r>
              <w:rPr>
                <w:rFonts w:ascii="仿宋_GB2312" w:hAnsi="仿宋_GB2312" w:cs="仿宋_GB2312" w:eastAsia="仿宋_GB2312"/>
              </w:rPr>
              <w:t>完全符合磋商文件要求，没有负偏离，得满分20分；一般技术指标负偏离1项扣2分，扣完为止。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服务工作计划：包含洗涤工序、分类、消毒流程等内容，详细列出服务工作计划，并按照标准化实施服务管理，能提供相关资料。以服务定位准确清晰、目标明确、工作计划全面、科学、可操作性强为赋分原则计1-5分； 2、提供拟投入人员清单、组织架构，专职的服务人员配置计划，内容全面计1-5分； 3、洗涤设备配置：根据供应商提供的设备配置（包括但不限于设备明细、彩图、购置发票）、洗涤剂产品（达到国家医用织物洗涤要求，提供检测报告、购置发票等证明材料）等内容进行综合评定 ，计1-5分； 4、提供的合理、可行的服务质量保证措施（以企业管理文件、日常管理质检报告为准）计1-5分； 5、运输与人员安排：自行提供运输工具，并配备专职负责人员，根据供应商提供的内容计1-5分； 6、应急响应方案;接到医院紧急通知后，迅速做出反应，采取适当的解决方案，方案内容合理可行，根据响应程度计1-5分； 7、洗涤的消毒杀菌方案：在特殊情况下，对医院洗涤物品的消毒杀菌方案内容进行评审，根据响应情况赋分1-5分； 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供应商提供2023年1月1日以来类似项目业绩。以合同签订日期为准，并加盖供应商公章的合同关键页复印件为计分依据，每份合格业绩合同计1分，满分5分。未提供不得分。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环境及用水要求</w:t>
            </w:r>
          </w:p>
        </w:tc>
        <w:tc>
          <w:tcPr>
            <w:tcW w:type="dxa" w:w="2492"/>
          </w:tcPr>
          <w:p>
            <w:pPr>
              <w:pStyle w:val="null3"/>
            </w:pPr>
            <w:r>
              <w:rPr>
                <w:rFonts w:ascii="仿宋_GB2312" w:hAnsi="仿宋_GB2312" w:cs="仿宋_GB2312" w:eastAsia="仿宋_GB2312"/>
              </w:rPr>
              <w:t>洗涤场所保障：洗涤场所具有净污分离、物流不交叉，无逆流等规范要求，提供场所现场照片及全过程洗涤流程图等证明材料，证明材料齐全且满足各项要求得(4-5]分；证明材料齐全但针对性一般得(2-4]分； 证明材料模糊不清或粗略简单，得(1-2]分。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各有效供应商的评审价（为服务内容中各分项报价之和），取最低者作为基准价，各有效供应商的价格评分统一按照下列公式计算： 价 格评分＝（基准价÷评审价）×价格分分值。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详见附件：法定代表人身份证明、法定代表人授权.docx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详见附件：供应商承诺函.docx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详见附件：企业业绩一览表.docx</w:t>
      </w:r>
    </w:p>
    <w:p>
      <w:pPr>
        <w:pStyle w:val="null3"/>
        <w:ind w:firstLine="960"/>
      </w:pPr>
      <w:r>
        <w:rPr>
          <w:rFonts w:ascii="仿宋_GB2312" w:hAnsi="仿宋_GB2312" w:cs="仿宋_GB2312" w:eastAsia="仿宋_GB2312"/>
        </w:rPr>
        <w:t>详见附件：联合体承诺书.docx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